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C979C6">
      <w:pPr>
        <w:spacing w:after="156" w:afterLines="50"/>
        <w:jc w:val="center"/>
        <w:rPr>
          <w:rFonts w:hint="eastAsia" w:ascii="方正小标宋简体" w:hAnsi="仿宋" w:eastAsia="方正小标宋简体" w:cs="Times New Roman"/>
          <w:bCs/>
          <w:sz w:val="44"/>
          <w:szCs w:val="44"/>
        </w:rPr>
      </w:pPr>
      <w:r>
        <w:rPr>
          <w:rFonts w:hint="eastAsia" w:ascii="方正小标宋简体" w:hAnsi="仿宋" w:eastAsia="方正小标宋简体" w:cs="Times New Roman"/>
          <w:bCs/>
          <w:sz w:val="44"/>
          <w:szCs w:val="44"/>
        </w:rPr>
        <w:t>武汉产业发展基金2025年拟参股基金</w:t>
      </w:r>
    </w:p>
    <w:p w14:paraId="1D5DB937">
      <w:pPr>
        <w:spacing w:after="156" w:afterLines="50"/>
        <w:jc w:val="center"/>
        <w:rPr>
          <w:rFonts w:hint="eastAsia" w:ascii="方正小标宋简体" w:hAnsi="仿宋" w:eastAsia="方正小标宋简体" w:cs="Times New Roman"/>
          <w:bCs/>
          <w:sz w:val="44"/>
          <w:szCs w:val="44"/>
        </w:rPr>
      </w:pPr>
      <w:r>
        <w:rPr>
          <w:rFonts w:hint="eastAsia" w:ascii="方正小标宋简体" w:hAnsi="仿宋" w:eastAsia="方正小标宋简体" w:cs="Times New Roman"/>
          <w:bCs/>
          <w:sz w:val="44"/>
          <w:szCs w:val="44"/>
        </w:rPr>
        <w:t>申报指南及管理机构遴选办法</w:t>
      </w:r>
    </w:p>
    <w:p w14:paraId="5FFE1168">
      <w:pPr>
        <w:spacing w:line="540" w:lineRule="exact"/>
        <w:rPr>
          <w:rFonts w:hint="eastAsia" w:ascii="仿宋" w:hAnsi="仿宋" w:eastAsia="仿宋" w:cs="Times New Roman"/>
          <w:color w:val="000000"/>
          <w:sz w:val="32"/>
          <w:szCs w:val="32"/>
        </w:rPr>
      </w:pPr>
    </w:p>
    <w:p w14:paraId="1992C1C9">
      <w:pPr>
        <w:widowControl w:val="0"/>
        <w:numPr>
          <w:ilvl w:val="0"/>
          <w:numId w:val="1"/>
        </w:numPr>
        <w:spacing w:line="540" w:lineRule="exact"/>
        <w:ind w:left="1303" w:hanging="660" w:firstLineChars="0"/>
        <w:jc w:val="both"/>
        <w:rPr>
          <w:rFonts w:hint="eastAsia" w:ascii="黑体" w:hAnsi="黑体" w:eastAsia="黑体" w:cs="黑体"/>
          <w:kern w:val="2"/>
          <w:sz w:val="32"/>
          <w:szCs w:val="32"/>
          <w:lang w:val="en-US" w:eastAsia="zh-CN" w:bidi="ar-SA"/>
        </w:rPr>
      </w:pPr>
      <w:r>
        <w:rPr>
          <w:rFonts w:hint="eastAsia" w:ascii="黑体" w:hAnsi="黑体" w:eastAsia="黑体" w:cs="黑体"/>
          <w:color w:val="000000"/>
          <w:kern w:val="2"/>
          <w:sz w:val="32"/>
          <w:szCs w:val="32"/>
          <w:shd w:val="clear" w:color="auto" w:fill="FFFFFF"/>
          <w:lang w:val="en-US" w:eastAsia="zh-CN" w:bidi="ar-SA"/>
        </w:rPr>
        <w:t>拟参股设立基金类型</w:t>
      </w:r>
    </w:p>
    <w:p w14:paraId="2E360C34">
      <w:pPr>
        <w:spacing w:line="540" w:lineRule="exact"/>
        <w:ind w:firstLine="640" w:firstLineChars="200"/>
        <w:rPr>
          <w:rFonts w:hint="eastAsia" w:ascii="仿宋" w:hAnsi="仿宋" w:eastAsia="仿宋" w:cs="Times New Roman"/>
          <w:color w:val="000000"/>
          <w:sz w:val="32"/>
          <w:szCs w:val="32"/>
          <w:shd w:val="clear" w:color="auto" w:fill="FFFFFF"/>
        </w:rPr>
      </w:pPr>
      <w:r>
        <w:rPr>
          <w:rFonts w:hint="eastAsia" w:ascii="仿宋" w:hAnsi="仿宋" w:eastAsia="仿宋" w:cs="Times New Roman"/>
          <w:color w:val="000000"/>
          <w:sz w:val="32"/>
          <w:szCs w:val="32"/>
          <w:shd w:val="clear" w:color="auto" w:fill="FFFFFF"/>
        </w:rPr>
        <w:t>（一）科创类基金。</w:t>
      </w:r>
      <w:r>
        <w:rPr>
          <w:rFonts w:hint="eastAsia" w:ascii="仿宋" w:hAnsi="仿宋" w:eastAsia="仿宋" w:cs="仿宋"/>
          <w:sz w:val="32"/>
          <w:szCs w:val="32"/>
        </w:rPr>
        <w:t>基金包括种子基金、天使基金等。</w:t>
      </w:r>
      <w:r>
        <w:rPr>
          <w:rFonts w:hint="eastAsia" w:ascii="仿宋" w:hAnsi="仿宋" w:eastAsia="仿宋" w:cs="Times New Roman"/>
          <w:color w:val="000000"/>
          <w:sz w:val="32"/>
          <w:szCs w:val="32"/>
          <w:shd w:val="clear" w:color="auto" w:fill="FFFFFF"/>
        </w:rPr>
        <w:t>其中，种子基金、天使基金要求不低于60%的实际投资额投向初创期的企业。</w:t>
      </w:r>
    </w:p>
    <w:p w14:paraId="3671B41F">
      <w:pPr>
        <w:spacing w:line="540" w:lineRule="exact"/>
        <w:ind w:firstLine="640" w:firstLineChars="200"/>
        <w:rPr>
          <w:rFonts w:hint="eastAsia" w:ascii="仿宋" w:hAnsi="仿宋" w:eastAsia="仿宋" w:cs="Times New Roman"/>
          <w:color w:val="000000"/>
          <w:sz w:val="32"/>
          <w:szCs w:val="32"/>
          <w:shd w:val="clear" w:color="auto" w:fill="FFFFFF"/>
        </w:rPr>
      </w:pPr>
      <w:r>
        <w:rPr>
          <w:rFonts w:hint="eastAsia" w:ascii="仿宋" w:hAnsi="仿宋" w:eastAsia="仿宋" w:cs="Times New Roman"/>
          <w:color w:val="000000"/>
          <w:sz w:val="32"/>
          <w:szCs w:val="32"/>
          <w:shd w:val="clear" w:color="auto" w:fill="FFFFFF"/>
        </w:rPr>
        <w:t>科创基金重点围绕</w:t>
      </w:r>
      <w:r>
        <w:rPr>
          <w:rFonts w:hint="eastAsia" w:ascii="仿宋" w:hAnsi="仿宋" w:eastAsia="仿宋" w:cs="仿宋"/>
          <w:sz w:val="32"/>
          <w:szCs w:val="32"/>
        </w:rPr>
        <w:t>软件与信息技术、超算和人工智能、商业航天、氢能、低空经济等五大新兴产业领域，未来制造、未来信息、未来材料、未来能源、未来空间、未来健康等六大未来方向开展布局。</w:t>
      </w:r>
    </w:p>
    <w:p w14:paraId="484D111A">
      <w:pPr>
        <w:spacing w:line="540" w:lineRule="exact"/>
        <w:ind w:firstLine="640" w:firstLineChars="200"/>
        <w:rPr>
          <w:rFonts w:hint="eastAsia" w:ascii="仿宋" w:hAnsi="仿宋" w:eastAsia="仿宋" w:cs="Times New Roman"/>
          <w:color w:val="000000"/>
          <w:sz w:val="32"/>
          <w:szCs w:val="32"/>
          <w:shd w:val="clear" w:color="auto" w:fill="FFFFFF"/>
        </w:rPr>
      </w:pPr>
      <w:r>
        <w:rPr>
          <w:rFonts w:hint="eastAsia" w:ascii="仿宋" w:hAnsi="仿宋" w:eastAsia="仿宋" w:cs="Times New Roman"/>
          <w:color w:val="000000"/>
          <w:sz w:val="32"/>
          <w:szCs w:val="32"/>
          <w:shd w:val="clear" w:color="auto" w:fill="FFFFFF"/>
        </w:rPr>
        <w:t>初创期企业指满足以下条件的企业：1.企业开展相关主体业务实际运营时间不超过5年；2.营业收入不超过5000万；3.员工人数不高于300人；4.具有自主知识产权；5.员工中直接从事科研的人员比例不低于10%。</w:t>
      </w:r>
    </w:p>
    <w:p w14:paraId="5D3E4841">
      <w:pPr>
        <w:spacing w:line="540" w:lineRule="exact"/>
        <w:ind w:firstLine="640" w:firstLineChars="200"/>
        <w:rPr>
          <w:rFonts w:hint="eastAsia" w:ascii="仿宋" w:hAnsi="仿宋" w:eastAsia="仿宋" w:cs="Times New Roman"/>
          <w:color w:val="000000"/>
          <w:sz w:val="32"/>
          <w:szCs w:val="32"/>
          <w:shd w:val="clear" w:color="auto" w:fill="FFFFFF"/>
        </w:rPr>
      </w:pPr>
      <w:r>
        <w:rPr>
          <w:rFonts w:hint="eastAsia" w:ascii="仿宋" w:hAnsi="仿宋" w:eastAsia="仿宋" w:cs="Times New Roman"/>
          <w:color w:val="000000"/>
          <w:sz w:val="32"/>
          <w:szCs w:val="32"/>
          <w:shd w:val="clear" w:color="auto" w:fill="FFFFFF"/>
        </w:rPr>
        <w:t>（二）产业类基金。基金主要</w:t>
      </w:r>
      <w:r>
        <w:rPr>
          <w:rFonts w:hint="eastAsia" w:ascii="仿宋" w:hAnsi="仿宋" w:eastAsia="仿宋" w:cs="仿宋"/>
          <w:sz w:val="32"/>
          <w:szCs w:val="32"/>
        </w:rPr>
        <w:t>围绕光电子信息、新能源与智能网联汽车、生命健康、高端装备、北斗等五大优势产业及战略新兴产业开展布局</w:t>
      </w:r>
      <w:r>
        <w:rPr>
          <w:rFonts w:hint="eastAsia" w:ascii="仿宋" w:hAnsi="仿宋" w:eastAsia="仿宋" w:cs="Times New Roman"/>
          <w:color w:val="000000"/>
          <w:sz w:val="32"/>
          <w:szCs w:val="32"/>
          <w:shd w:val="clear" w:color="auto" w:fill="FFFFFF"/>
        </w:rPr>
        <w:t>。</w:t>
      </w:r>
    </w:p>
    <w:p w14:paraId="1B8FF41C">
      <w:pPr>
        <w:widowControl w:val="0"/>
        <w:spacing w:line="540" w:lineRule="exact"/>
        <w:ind w:firstLine="640" w:firstLineChars="200"/>
        <w:jc w:val="both"/>
        <w:rPr>
          <w:rFonts w:hint="eastAsia" w:ascii="等线" w:hAnsi="等线" w:eastAsia="等线" w:cs="Times New Roman"/>
          <w:kern w:val="2"/>
          <w:sz w:val="21"/>
          <w:szCs w:val="22"/>
          <w:shd w:val="clear" w:color="auto" w:fill="FFFFFF"/>
          <w:lang w:val="en-US" w:eastAsia="zh-CN" w:bidi="ar-SA"/>
        </w:rPr>
      </w:pPr>
      <w:r>
        <w:rPr>
          <w:rFonts w:hint="eastAsia" w:ascii="仿宋" w:hAnsi="仿宋" w:eastAsia="仿宋" w:cs="Times New Roman"/>
          <w:color w:val="000000"/>
          <w:kern w:val="2"/>
          <w:sz w:val="32"/>
          <w:szCs w:val="32"/>
          <w:shd w:val="clear" w:color="auto" w:fill="FFFFFF"/>
          <w:lang w:val="en-US" w:eastAsia="zh-CN" w:bidi="ar-SA"/>
        </w:rPr>
        <w:t>同等条件下，优先支持行业头部机构、CVC机构发起设立子基金，及能够吸引国家级基金或海外资金（QFLP）落地子基金。</w:t>
      </w:r>
    </w:p>
    <w:p w14:paraId="68488188">
      <w:pPr>
        <w:widowControl w:val="0"/>
        <w:numPr>
          <w:ilvl w:val="0"/>
          <w:numId w:val="1"/>
        </w:numPr>
        <w:spacing w:line="540" w:lineRule="exact"/>
        <w:ind w:left="1303" w:hanging="660" w:firstLineChars="0"/>
        <w:jc w:val="both"/>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基金管理机构应具备的条件</w:t>
      </w:r>
    </w:p>
    <w:p w14:paraId="0BB4FF09">
      <w:pPr>
        <w:spacing w:line="540" w:lineRule="exact"/>
        <w:ind w:firstLine="640" w:firstLineChars="200"/>
        <w:rPr>
          <w:rFonts w:hint="eastAsia" w:ascii="仿宋" w:hAnsi="仿宋" w:eastAsia="仿宋" w:cs="Times New Roman"/>
          <w:color w:val="000000"/>
          <w:sz w:val="32"/>
          <w:szCs w:val="32"/>
          <w:shd w:val="clear" w:color="auto" w:fill="FFFFFF"/>
        </w:rPr>
      </w:pPr>
      <w:r>
        <w:rPr>
          <w:rFonts w:hint="eastAsia" w:ascii="仿宋" w:hAnsi="仿宋" w:eastAsia="仿宋" w:cs="Times New Roman"/>
          <w:color w:val="000000"/>
          <w:sz w:val="32"/>
          <w:szCs w:val="32"/>
          <w:shd w:val="clear" w:color="auto" w:fill="FFFFFF"/>
        </w:rPr>
        <w:t>武汉基金参股的母、子基金管理人应符合以下条件：</w:t>
      </w:r>
    </w:p>
    <w:p w14:paraId="7BC0C473">
      <w:pPr>
        <w:spacing w:line="540" w:lineRule="exact"/>
        <w:ind w:firstLine="640" w:firstLineChars="200"/>
        <w:rPr>
          <w:rFonts w:hint="eastAsia" w:ascii="仿宋" w:hAnsi="仿宋" w:eastAsia="仿宋" w:cs="Times New Roman"/>
          <w:color w:val="000000"/>
          <w:sz w:val="32"/>
          <w:szCs w:val="32"/>
          <w:shd w:val="clear" w:color="auto" w:fill="FFFFFF"/>
          <w:lang w:eastAsia="zh-CN"/>
        </w:rPr>
      </w:pPr>
      <w:r>
        <w:rPr>
          <w:rFonts w:hint="eastAsia" w:ascii="仿宋" w:hAnsi="仿宋" w:eastAsia="仿宋" w:cs="Times New Roman"/>
          <w:color w:val="000000"/>
          <w:sz w:val="32"/>
          <w:szCs w:val="32"/>
          <w:shd w:val="clear" w:color="auto" w:fill="FFFFFF"/>
        </w:rPr>
        <w:t>（一）在市场监督管理部门注册，经中国证券投资基金业协会登记，实缴注册资本不低于1000万元人民币。管理团队经营管理基金规模原则上不低于5亿元，具有较强的资金募集能力及丰富的项目储备</w:t>
      </w:r>
      <w:r>
        <w:rPr>
          <w:rFonts w:hint="eastAsia" w:ascii="仿宋" w:hAnsi="仿宋" w:eastAsia="仿宋" w:cs="Times New Roman"/>
          <w:color w:val="000000"/>
          <w:sz w:val="32"/>
          <w:szCs w:val="32"/>
          <w:shd w:val="clear" w:color="auto" w:fill="FFFFFF"/>
          <w:lang w:eastAsia="zh-CN"/>
        </w:rPr>
        <w:t>；</w:t>
      </w:r>
    </w:p>
    <w:p w14:paraId="3897F72E">
      <w:pPr>
        <w:spacing w:line="540" w:lineRule="exact"/>
        <w:ind w:firstLine="640" w:firstLineChars="200"/>
        <w:rPr>
          <w:rFonts w:hint="eastAsia" w:ascii="仿宋" w:hAnsi="仿宋" w:eastAsia="仿宋" w:cs="Times New Roman"/>
          <w:color w:val="000000"/>
          <w:sz w:val="32"/>
          <w:szCs w:val="32"/>
          <w:shd w:val="clear" w:color="auto" w:fill="FFFFFF"/>
        </w:rPr>
      </w:pPr>
      <w:r>
        <w:rPr>
          <w:rFonts w:hint="eastAsia" w:ascii="仿宋" w:hAnsi="仿宋" w:eastAsia="仿宋" w:cs="Times New Roman"/>
          <w:color w:val="000000"/>
          <w:sz w:val="32"/>
          <w:szCs w:val="32"/>
          <w:shd w:val="clear" w:color="auto" w:fill="FFFFFF"/>
        </w:rPr>
        <w:t xml:space="preserve">（二）至少3名具备5年以上股权投资或相关业务经验的专职高级管理人员，高级管理人员具备基金从业资格； </w:t>
      </w:r>
    </w:p>
    <w:p w14:paraId="36727397">
      <w:pPr>
        <w:spacing w:line="540" w:lineRule="exact"/>
        <w:ind w:firstLine="640" w:firstLineChars="200"/>
        <w:rPr>
          <w:rFonts w:hint="eastAsia" w:ascii="仿宋" w:hAnsi="仿宋" w:eastAsia="仿宋" w:cs="Times New Roman"/>
          <w:color w:val="000000"/>
          <w:sz w:val="32"/>
          <w:szCs w:val="32"/>
          <w:shd w:val="clear" w:color="auto" w:fill="FFFFFF"/>
        </w:rPr>
      </w:pPr>
      <w:r>
        <w:rPr>
          <w:rFonts w:hint="eastAsia" w:ascii="仿宋" w:hAnsi="仿宋" w:eastAsia="仿宋" w:cs="Times New Roman"/>
          <w:color w:val="000000"/>
          <w:sz w:val="32"/>
          <w:szCs w:val="32"/>
          <w:shd w:val="clear" w:color="auto" w:fill="FFFFFF"/>
        </w:rPr>
        <w:t xml:space="preserve">（三）基金管理团队至少有3个（含）以上符合武汉基金投向成功投资的股权投资案例的证明材料（成功案例指基金投资单个项目股权退出总收益不低于20%，或在投项目公允价值收益50%以上）； </w:t>
      </w:r>
    </w:p>
    <w:p w14:paraId="2350DCF4">
      <w:pPr>
        <w:spacing w:line="540" w:lineRule="exact"/>
        <w:ind w:firstLine="640" w:firstLineChars="200"/>
        <w:rPr>
          <w:rFonts w:hint="eastAsia" w:ascii="仿宋" w:hAnsi="仿宋" w:eastAsia="仿宋" w:cs="Times New Roman"/>
          <w:color w:val="000000"/>
          <w:sz w:val="32"/>
          <w:szCs w:val="32"/>
          <w:shd w:val="clear" w:color="auto" w:fill="FFFFFF"/>
        </w:rPr>
      </w:pPr>
      <w:r>
        <w:rPr>
          <w:rFonts w:hint="eastAsia" w:ascii="仿宋" w:hAnsi="仿宋" w:eastAsia="仿宋" w:cs="Times New Roman"/>
          <w:color w:val="000000"/>
          <w:sz w:val="32"/>
          <w:szCs w:val="32"/>
          <w:shd w:val="clear" w:color="auto" w:fill="FFFFFF"/>
        </w:rPr>
        <w:t xml:space="preserve">（四）在武汉市内设置固定办公场所并配备专属且稳定的管理团队，至少1名核心人员常驻武汉办公； </w:t>
      </w:r>
    </w:p>
    <w:p w14:paraId="1DB9906F">
      <w:pPr>
        <w:spacing w:line="540" w:lineRule="exact"/>
        <w:ind w:firstLine="640" w:firstLineChars="200"/>
        <w:rPr>
          <w:rFonts w:hint="eastAsia" w:ascii="仿宋" w:hAnsi="仿宋" w:eastAsia="仿宋" w:cs="Times New Roman"/>
          <w:color w:val="000000"/>
          <w:sz w:val="32"/>
          <w:szCs w:val="32"/>
          <w:shd w:val="clear" w:color="auto" w:fill="FFFFFF"/>
        </w:rPr>
      </w:pPr>
      <w:r>
        <w:rPr>
          <w:rFonts w:hint="eastAsia" w:ascii="仿宋" w:hAnsi="仿宋" w:eastAsia="仿宋" w:cs="Times New Roman"/>
          <w:color w:val="000000"/>
          <w:sz w:val="32"/>
          <w:szCs w:val="32"/>
          <w:shd w:val="clear" w:color="auto" w:fill="FFFFFF"/>
        </w:rPr>
        <w:t xml:space="preserve">（五）有健全的股权投资管理和风险控制制度，规范的项目遴选机制和投资决策机制，完善的内部财务管理制度，能够为被投资企业提供辅导、管理、咨询的增值服务； </w:t>
      </w:r>
    </w:p>
    <w:p w14:paraId="3BA38D91">
      <w:pPr>
        <w:spacing w:line="540" w:lineRule="exact"/>
        <w:ind w:firstLine="640" w:firstLineChars="200"/>
        <w:rPr>
          <w:rFonts w:hint="eastAsia" w:ascii="仿宋" w:hAnsi="仿宋" w:eastAsia="仿宋" w:cs="Times New Roman"/>
          <w:color w:val="000000"/>
          <w:sz w:val="32"/>
          <w:szCs w:val="32"/>
          <w:shd w:val="clear" w:color="auto" w:fill="FFFFFF"/>
        </w:rPr>
      </w:pPr>
      <w:r>
        <w:rPr>
          <w:rFonts w:hint="eastAsia" w:ascii="仿宋" w:hAnsi="仿宋" w:eastAsia="仿宋" w:cs="Times New Roman"/>
          <w:color w:val="000000"/>
          <w:sz w:val="32"/>
          <w:szCs w:val="32"/>
          <w:shd w:val="clear" w:color="auto" w:fill="FFFFFF"/>
        </w:rPr>
        <w:t>（六）机构及其工作人员无违法犯罪等不良记录。</w:t>
      </w:r>
    </w:p>
    <w:p w14:paraId="72942C81">
      <w:pPr>
        <w:widowControl w:val="0"/>
        <w:numPr>
          <w:ilvl w:val="255"/>
          <w:numId w:val="0"/>
        </w:numPr>
        <w:spacing w:line="540" w:lineRule="exact"/>
        <w:ind w:left="-17" w:firstLine="640" w:firstLineChars="200"/>
        <w:jc w:val="both"/>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三、管理机构遴选评价体系核心指标</w:t>
      </w:r>
    </w:p>
    <w:p w14:paraId="322DCDEB">
      <w:pPr>
        <w:widowControl w:val="0"/>
        <w:spacing w:line="540" w:lineRule="exact"/>
        <w:ind w:firstLine="640" w:firstLineChars="200"/>
        <w:jc w:val="both"/>
        <w:rPr>
          <w:rFonts w:hint="eastAsia" w:ascii="仿宋" w:hAnsi="仿宋" w:eastAsia="仿宋" w:cs="Times New Roman"/>
          <w:color w:val="000000"/>
          <w:kern w:val="2"/>
          <w:sz w:val="32"/>
          <w:szCs w:val="32"/>
          <w:shd w:val="clear" w:color="auto" w:fill="FFFFFF"/>
          <w:lang w:val="en-US" w:eastAsia="zh-CN" w:bidi="ar-SA"/>
        </w:rPr>
      </w:pPr>
      <w:r>
        <w:rPr>
          <w:rFonts w:hint="eastAsia" w:ascii="仿宋" w:hAnsi="仿宋" w:eastAsia="仿宋" w:cs="Times New Roman"/>
          <w:color w:val="000000"/>
          <w:kern w:val="2"/>
          <w:sz w:val="32"/>
          <w:szCs w:val="32"/>
          <w:shd w:val="clear" w:color="auto" w:fill="FFFFFF"/>
          <w:lang w:val="en-US" w:eastAsia="zh-CN" w:bidi="ar-SA"/>
        </w:rPr>
        <w:t>为公开、公平、公正遴选社会管理机构，进一步提升基金管理人质量，引导更多优质创投机构落户武汉，制定了武汉基金管理机构遴选评价体系，并按照该体系科学、规范地遴选管理人。评价体系核心指标如下：</w:t>
      </w:r>
    </w:p>
    <w:p w14:paraId="65C02CB4">
      <w:pPr>
        <w:widowControl w:val="0"/>
        <w:numPr>
          <w:ilvl w:val="0"/>
          <w:numId w:val="2"/>
        </w:numPr>
        <w:spacing w:line="540" w:lineRule="exact"/>
        <w:ind w:firstLine="640" w:firstLineChars="200"/>
        <w:jc w:val="both"/>
        <w:rPr>
          <w:rFonts w:hint="eastAsia" w:ascii="仿宋" w:hAnsi="仿宋" w:eastAsia="仿宋" w:cs="Times New Roman"/>
          <w:color w:val="000000"/>
          <w:kern w:val="2"/>
          <w:sz w:val="32"/>
          <w:szCs w:val="32"/>
          <w:shd w:val="clear" w:color="auto" w:fill="FFFFFF"/>
          <w:lang w:val="en-US" w:eastAsia="zh-CN" w:bidi="ar-SA"/>
        </w:rPr>
      </w:pPr>
      <w:r>
        <w:rPr>
          <w:rFonts w:hint="eastAsia" w:ascii="仿宋" w:hAnsi="仿宋" w:eastAsia="仿宋" w:cs="Times New Roman"/>
          <w:color w:val="000000"/>
          <w:kern w:val="2"/>
          <w:sz w:val="32"/>
          <w:szCs w:val="32"/>
          <w:shd w:val="clear" w:color="auto" w:fill="FFFFFF"/>
          <w:lang w:val="en-US" w:eastAsia="zh-CN" w:bidi="ar-SA"/>
        </w:rPr>
        <w:t>团队能力</w:t>
      </w:r>
    </w:p>
    <w:p w14:paraId="7FC74169">
      <w:pPr>
        <w:widowControl w:val="0"/>
        <w:spacing w:line="540" w:lineRule="exact"/>
        <w:ind w:firstLine="640" w:firstLineChars="200"/>
        <w:jc w:val="both"/>
        <w:rPr>
          <w:rFonts w:hint="eastAsia" w:ascii="仿宋" w:hAnsi="仿宋" w:eastAsia="仿宋" w:cs="Times New Roman"/>
          <w:color w:val="000000"/>
          <w:kern w:val="2"/>
          <w:sz w:val="32"/>
          <w:szCs w:val="32"/>
          <w:shd w:val="clear" w:color="auto" w:fill="FFFFFF"/>
          <w:lang w:val="en-US" w:eastAsia="zh-CN" w:bidi="ar-SA"/>
        </w:rPr>
      </w:pPr>
      <w:r>
        <w:rPr>
          <w:rFonts w:hint="eastAsia" w:ascii="仿宋" w:hAnsi="仿宋" w:eastAsia="仿宋" w:cs="Times New Roman"/>
          <w:color w:val="000000"/>
          <w:kern w:val="2"/>
          <w:sz w:val="32"/>
          <w:szCs w:val="32"/>
          <w:shd w:val="clear" w:color="auto" w:fill="FFFFFF"/>
          <w:lang w:val="en-US" w:eastAsia="zh-CN" w:bidi="ar-SA"/>
        </w:rPr>
        <w:t>主要包括管理团队核心成员从业年限，团队稳定性。</w:t>
      </w:r>
    </w:p>
    <w:p w14:paraId="2BE8843B">
      <w:pPr>
        <w:widowControl w:val="0"/>
        <w:numPr>
          <w:ilvl w:val="0"/>
          <w:numId w:val="2"/>
        </w:numPr>
        <w:spacing w:line="540" w:lineRule="exact"/>
        <w:ind w:firstLine="640" w:firstLineChars="200"/>
        <w:jc w:val="both"/>
        <w:rPr>
          <w:rFonts w:hint="eastAsia" w:ascii="仿宋" w:hAnsi="仿宋" w:eastAsia="仿宋" w:cs="Times New Roman"/>
          <w:color w:val="000000"/>
          <w:kern w:val="2"/>
          <w:sz w:val="32"/>
          <w:szCs w:val="32"/>
          <w:shd w:val="clear" w:color="auto" w:fill="FFFFFF"/>
          <w:lang w:val="en-US" w:eastAsia="zh-CN" w:bidi="ar-SA"/>
        </w:rPr>
      </w:pPr>
      <w:r>
        <w:rPr>
          <w:rFonts w:hint="eastAsia" w:ascii="仿宋" w:hAnsi="仿宋" w:eastAsia="仿宋" w:cs="Times New Roman"/>
          <w:color w:val="000000"/>
          <w:kern w:val="2"/>
          <w:sz w:val="32"/>
          <w:szCs w:val="32"/>
          <w:shd w:val="clear" w:color="auto" w:fill="FFFFFF"/>
          <w:lang w:val="en-US" w:eastAsia="zh-CN" w:bidi="ar-SA"/>
        </w:rPr>
        <w:t>历史业绩</w:t>
      </w:r>
    </w:p>
    <w:p w14:paraId="7639CCD3">
      <w:pPr>
        <w:widowControl w:val="0"/>
        <w:spacing w:line="540" w:lineRule="exact"/>
        <w:ind w:firstLine="640" w:firstLineChars="200"/>
        <w:jc w:val="both"/>
        <w:rPr>
          <w:rFonts w:hint="eastAsia" w:ascii="仿宋" w:hAnsi="仿宋" w:eastAsia="仿宋" w:cs="Times New Roman"/>
          <w:color w:val="000000"/>
          <w:kern w:val="2"/>
          <w:sz w:val="32"/>
          <w:szCs w:val="32"/>
          <w:shd w:val="clear" w:color="auto" w:fill="FFFFFF"/>
          <w:lang w:val="en-US" w:eastAsia="zh-CN" w:bidi="ar-SA"/>
        </w:rPr>
      </w:pPr>
      <w:r>
        <w:rPr>
          <w:rFonts w:hint="eastAsia" w:ascii="仿宋" w:hAnsi="仿宋" w:eastAsia="仿宋" w:cs="Times New Roman"/>
          <w:color w:val="000000"/>
          <w:kern w:val="2"/>
          <w:sz w:val="32"/>
          <w:szCs w:val="32"/>
          <w:shd w:val="clear" w:color="auto" w:fill="FFFFFF"/>
          <w:lang w:val="en-US" w:eastAsia="zh-CN" w:bidi="ar-SA"/>
        </w:rPr>
        <w:t>主要包括管理人在管基金IRR、DPI、MOIC指标，投资成功案例数量。</w:t>
      </w:r>
    </w:p>
    <w:p w14:paraId="12A09FEE">
      <w:pPr>
        <w:widowControl w:val="0"/>
        <w:numPr>
          <w:ilvl w:val="0"/>
          <w:numId w:val="2"/>
        </w:numPr>
        <w:spacing w:line="540" w:lineRule="exact"/>
        <w:ind w:firstLine="640" w:firstLineChars="200"/>
        <w:jc w:val="both"/>
        <w:rPr>
          <w:rFonts w:hint="eastAsia" w:ascii="仿宋" w:hAnsi="仿宋" w:eastAsia="仿宋" w:cs="Times New Roman"/>
          <w:color w:val="000000"/>
          <w:kern w:val="2"/>
          <w:sz w:val="32"/>
          <w:szCs w:val="32"/>
          <w:shd w:val="clear" w:color="auto" w:fill="FFFFFF"/>
          <w:lang w:val="en-US" w:eastAsia="zh-CN" w:bidi="ar-SA"/>
        </w:rPr>
      </w:pPr>
      <w:r>
        <w:rPr>
          <w:rFonts w:hint="eastAsia" w:ascii="仿宋" w:hAnsi="仿宋" w:eastAsia="仿宋" w:cs="Times New Roman"/>
          <w:color w:val="000000"/>
          <w:kern w:val="2"/>
          <w:sz w:val="32"/>
          <w:szCs w:val="32"/>
          <w:shd w:val="clear" w:color="auto" w:fill="FFFFFF"/>
          <w:lang w:val="en-US" w:eastAsia="zh-CN" w:bidi="ar-SA"/>
        </w:rPr>
        <w:t>政策契合度</w:t>
      </w:r>
    </w:p>
    <w:p w14:paraId="688335B4">
      <w:pPr>
        <w:widowControl w:val="0"/>
        <w:spacing w:line="540" w:lineRule="exact"/>
        <w:ind w:firstLine="640" w:firstLineChars="200"/>
        <w:jc w:val="both"/>
        <w:rPr>
          <w:rFonts w:hint="eastAsia" w:ascii="仿宋" w:hAnsi="仿宋" w:eastAsia="仿宋" w:cs="Times New Roman"/>
          <w:color w:val="000000"/>
          <w:kern w:val="2"/>
          <w:sz w:val="32"/>
          <w:szCs w:val="32"/>
          <w:shd w:val="clear" w:color="auto" w:fill="FFFFFF"/>
          <w:lang w:val="en-US" w:eastAsia="zh-CN" w:bidi="ar-SA"/>
        </w:rPr>
      </w:pPr>
      <w:r>
        <w:rPr>
          <w:rFonts w:hint="eastAsia" w:ascii="仿宋" w:hAnsi="仿宋" w:eastAsia="仿宋" w:cs="Times New Roman"/>
          <w:color w:val="000000"/>
          <w:kern w:val="2"/>
          <w:sz w:val="32"/>
          <w:szCs w:val="32"/>
          <w:shd w:val="clear" w:color="auto" w:fill="FFFFFF"/>
          <w:lang w:val="en-US" w:eastAsia="zh-CN" w:bidi="ar-SA"/>
        </w:rPr>
        <w:t>主要包括过往投资投向符合武汉基金重点支持产业的资金占比，过往投资武汉本地项目的投资额占比。</w:t>
      </w:r>
    </w:p>
    <w:p w14:paraId="29FDF5C9">
      <w:pPr>
        <w:widowControl w:val="0"/>
        <w:numPr>
          <w:ilvl w:val="0"/>
          <w:numId w:val="2"/>
        </w:numPr>
        <w:spacing w:line="540" w:lineRule="exact"/>
        <w:ind w:firstLine="640" w:firstLineChars="200"/>
        <w:jc w:val="both"/>
        <w:rPr>
          <w:rFonts w:hint="eastAsia" w:ascii="仿宋" w:hAnsi="仿宋" w:eastAsia="仿宋" w:cs="Times New Roman"/>
          <w:color w:val="000000"/>
          <w:kern w:val="2"/>
          <w:sz w:val="32"/>
          <w:szCs w:val="32"/>
          <w:shd w:val="clear" w:color="auto" w:fill="FFFFFF"/>
          <w:lang w:val="en-US" w:eastAsia="zh-CN" w:bidi="ar-SA"/>
        </w:rPr>
      </w:pPr>
      <w:r>
        <w:rPr>
          <w:rFonts w:hint="eastAsia" w:ascii="仿宋" w:hAnsi="仿宋" w:eastAsia="仿宋" w:cs="Times New Roman"/>
          <w:color w:val="000000"/>
          <w:kern w:val="2"/>
          <w:sz w:val="32"/>
          <w:szCs w:val="32"/>
          <w:shd w:val="clear" w:color="auto" w:fill="FFFFFF"/>
          <w:lang w:val="en-US" w:eastAsia="zh-CN" w:bidi="ar-SA"/>
        </w:rPr>
        <w:t>风控合规</w:t>
      </w:r>
    </w:p>
    <w:p w14:paraId="26A1966D">
      <w:pPr>
        <w:widowControl w:val="0"/>
        <w:spacing w:line="540" w:lineRule="exact"/>
        <w:ind w:firstLine="640" w:firstLineChars="200"/>
        <w:jc w:val="both"/>
        <w:rPr>
          <w:rFonts w:hint="eastAsia" w:ascii="仿宋" w:hAnsi="仿宋" w:eastAsia="仿宋" w:cs="Times New Roman"/>
          <w:color w:val="000000"/>
          <w:kern w:val="2"/>
          <w:sz w:val="32"/>
          <w:szCs w:val="32"/>
          <w:shd w:val="clear" w:color="auto" w:fill="FFFFFF"/>
          <w:lang w:val="en-US" w:eastAsia="zh-CN" w:bidi="ar-SA"/>
        </w:rPr>
      </w:pPr>
      <w:r>
        <w:rPr>
          <w:rFonts w:hint="eastAsia" w:ascii="仿宋" w:hAnsi="仿宋" w:eastAsia="仿宋" w:cs="Times New Roman"/>
          <w:color w:val="000000"/>
          <w:kern w:val="2"/>
          <w:sz w:val="32"/>
          <w:szCs w:val="32"/>
          <w:shd w:val="clear" w:color="auto" w:fill="FFFFFF"/>
          <w:lang w:val="en-US" w:eastAsia="zh-CN" w:bidi="ar-SA"/>
        </w:rPr>
        <w:t>主要包括管理机构制度完善性，过往投资风险事件及处置情况。</w:t>
      </w:r>
    </w:p>
    <w:p w14:paraId="17977EBD">
      <w:pPr>
        <w:widowControl w:val="0"/>
        <w:numPr>
          <w:ilvl w:val="0"/>
          <w:numId w:val="2"/>
        </w:numPr>
        <w:spacing w:line="540" w:lineRule="exact"/>
        <w:ind w:firstLine="640" w:firstLineChars="200"/>
        <w:jc w:val="both"/>
        <w:rPr>
          <w:rFonts w:hint="eastAsia" w:ascii="仿宋" w:hAnsi="仿宋" w:eastAsia="仿宋" w:cs="Times New Roman"/>
          <w:color w:val="000000"/>
          <w:kern w:val="2"/>
          <w:sz w:val="32"/>
          <w:szCs w:val="32"/>
          <w:shd w:val="clear" w:color="auto" w:fill="FFFFFF"/>
          <w:lang w:val="en-US" w:eastAsia="zh-CN" w:bidi="ar-SA"/>
        </w:rPr>
      </w:pPr>
      <w:r>
        <w:rPr>
          <w:rFonts w:hint="eastAsia" w:ascii="仿宋" w:hAnsi="仿宋" w:eastAsia="仿宋" w:cs="Times New Roman"/>
          <w:color w:val="000000"/>
          <w:kern w:val="2"/>
          <w:sz w:val="32"/>
          <w:szCs w:val="32"/>
          <w:shd w:val="clear" w:color="auto" w:fill="FFFFFF"/>
          <w:lang w:val="en-US" w:eastAsia="zh-CN" w:bidi="ar-SA"/>
        </w:rPr>
        <w:t>本地化情况</w:t>
      </w:r>
    </w:p>
    <w:p w14:paraId="6901E323">
      <w:pPr>
        <w:widowControl w:val="0"/>
        <w:spacing w:line="540" w:lineRule="exact"/>
        <w:ind w:firstLine="640" w:firstLineChars="200"/>
        <w:jc w:val="both"/>
        <w:rPr>
          <w:rFonts w:hint="eastAsia" w:ascii="仿宋" w:hAnsi="仿宋" w:eastAsia="仿宋" w:cs="Times New Roman"/>
          <w:color w:val="000000"/>
          <w:kern w:val="2"/>
          <w:sz w:val="32"/>
          <w:szCs w:val="32"/>
          <w:shd w:val="clear" w:color="auto" w:fill="FFFFFF"/>
          <w:lang w:val="en-US" w:eastAsia="zh-CN" w:bidi="ar-SA"/>
        </w:rPr>
      </w:pPr>
      <w:r>
        <w:rPr>
          <w:rFonts w:hint="eastAsia" w:ascii="仿宋" w:hAnsi="仿宋" w:eastAsia="仿宋" w:cs="Times New Roman"/>
          <w:color w:val="000000"/>
          <w:kern w:val="2"/>
          <w:sz w:val="32"/>
          <w:szCs w:val="32"/>
          <w:shd w:val="clear" w:color="auto" w:fill="FFFFFF"/>
          <w:lang w:val="en-US" w:eastAsia="zh-CN" w:bidi="ar-SA"/>
        </w:rPr>
        <w:t>主要包括管理人在汉机构设立、团队组建情况。</w:t>
      </w:r>
    </w:p>
    <w:p w14:paraId="7DB40728">
      <w:pPr>
        <w:widowControl w:val="0"/>
        <w:numPr>
          <w:ilvl w:val="0"/>
          <w:numId w:val="2"/>
        </w:numPr>
        <w:spacing w:line="540" w:lineRule="exact"/>
        <w:ind w:firstLine="640" w:firstLineChars="200"/>
        <w:jc w:val="both"/>
        <w:rPr>
          <w:rFonts w:hint="eastAsia" w:ascii="仿宋" w:hAnsi="仿宋" w:eastAsia="仿宋" w:cs="Times New Roman"/>
          <w:color w:val="000000"/>
          <w:kern w:val="2"/>
          <w:sz w:val="32"/>
          <w:szCs w:val="32"/>
          <w:shd w:val="clear" w:color="auto" w:fill="FFFFFF"/>
          <w:lang w:val="en-US" w:eastAsia="zh-CN" w:bidi="ar-SA"/>
        </w:rPr>
      </w:pPr>
      <w:r>
        <w:rPr>
          <w:rFonts w:hint="eastAsia" w:ascii="仿宋" w:hAnsi="仿宋" w:eastAsia="仿宋" w:cs="Times New Roman"/>
          <w:color w:val="000000"/>
          <w:kern w:val="2"/>
          <w:sz w:val="32"/>
          <w:szCs w:val="32"/>
          <w:shd w:val="clear" w:color="auto" w:fill="FFFFFF"/>
          <w:lang w:val="en-US" w:eastAsia="zh-CN" w:bidi="ar-SA"/>
        </w:rPr>
        <w:t>产业资源</w:t>
      </w:r>
    </w:p>
    <w:p w14:paraId="032F1132">
      <w:pPr>
        <w:widowControl w:val="0"/>
        <w:spacing w:line="540" w:lineRule="exact"/>
        <w:ind w:firstLine="640" w:firstLineChars="200"/>
        <w:jc w:val="both"/>
        <w:rPr>
          <w:rFonts w:hint="eastAsia" w:ascii="仿宋" w:hAnsi="仿宋" w:eastAsia="仿宋" w:cs="Times New Roman"/>
          <w:color w:val="000000"/>
          <w:kern w:val="2"/>
          <w:sz w:val="32"/>
          <w:szCs w:val="32"/>
          <w:shd w:val="clear" w:color="auto" w:fill="FFFFFF"/>
          <w:lang w:val="en-US" w:eastAsia="zh-CN" w:bidi="ar-SA"/>
        </w:rPr>
      </w:pPr>
      <w:r>
        <w:rPr>
          <w:rFonts w:hint="eastAsia" w:ascii="仿宋" w:hAnsi="仿宋" w:eastAsia="仿宋" w:cs="Times New Roman"/>
          <w:color w:val="000000"/>
          <w:kern w:val="2"/>
          <w:sz w:val="32"/>
          <w:szCs w:val="32"/>
          <w:shd w:val="clear" w:color="auto" w:fill="FFFFFF"/>
          <w:lang w:val="en-US" w:eastAsia="zh-CN" w:bidi="ar-SA"/>
        </w:rPr>
        <w:t>获得产业资源方及关联方在拟设立基金中的出资比例。</w:t>
      </w:r>
    </w:p>
    <w:p w14:paraId="30D241B3">
      <w:pPr>
        <w:widowControl w:val="0"/>
        <w:numPr>
          <w:ilvl w:val="0"/>
          <w:numId w:val="2"/>
        </w:numPr>
        <w:spacing w:line="540" w:lineRule="exact"/>
        <w:ind w:firstLine="640" w:firstLineChars="200"/>
        <w:jc w:val="both"/>
        <w:rPr>
          <w:rFonts w:hint="eastAsia" w:ascii="仿宋" w:hAnsi="仿宋" w:eastAsia="仿宋" w:cs="Times New Roman"/>
          <w:color w:val="000000"/>
          <w:kern w:val="2"/>
          <w:sz w:val="32"/>
          <w:szCs w:val="32"/>
          <w:shd w:val="clear" w:color="auto" w:fill="FFFFFF"/>
          <w:lang w:val="en-US" w:eastAsia="zh-CN" w:bidi="ar-SA"/>
        </w:rPr>
      </w:pPr>
      <w:r>
        <w:rPr>
          <w:rFonts w:hint="eastAsia" w:ascii="仿宋" w:hAnsi="仿宋" w:eastAsia="仿宋" w:cs="Times New Roman"/>
          <w:color w:val="000000"/>
          <w:kern w:val="2"/>
          <w:sz w:val="32"/>
          <w:szCs w:val="32"/>
          <w:shd w:val="clear" w:color="auto" w:fill="FFFFFF"/>
          <w:lang w:val="en-US" w:eastAsia="zh-CN" w:bidi="ar-SA"/>
        </w:rPr>
        <w:t>行业认可度</w:t>
      </w:r>
    </w:p>
    <w:p w14:paraId="033AFC13">
      <w:pPr>
        <w:widowControl w:val="0"/>
        <w:spacing w:line="540" w:lineRule="exact"/>
        <w:ind w:firstLine="640" w:firstLineChars="200"/>
        <w:jc w:val="both"/>
        <w:rPr>
          <w:rFonts w:hint="eastAsia" w:ascii="仿宋" w:hAnsi="仿宋" w:eastAsia="仿宋" w:cs="Times New Roman"/>
          <w:color w:val="000000"/>
          <w:kern w:val="2"/>
          <w:sz w:val="32"/>
          <w:szCs w:val="32"/>
          <w:shd w:val="clear" w:color="auto" w:fill="FFFFFF"/>
          <w:lang w:val="en-US" w:eastAsia="zh-CN" w:bidi="ar-SA"/>
        </w:rPr>
      </w:pPr>
      <w:r>
        <w:rPr>
          <w:rFonts w:hint="eastAsia" w:ascii="仿宋" w:hAnsi="仿宋" w:eastAsia="仿宋" w:cs="Times New Roman"/>
          <w:color w:val="000000"/>
          <w:kern w:val="2"/>
          <w:sz w:val="32"/>
          <w:szCs w:val="32"/>
          <w:shd w:val="clear" w:color="auto" w:fill="FFFFFF"/>
          <w:lang w:val="en-US" w:eastAsia="zh-CN" w:bidi="ar-SA"/>
        </w:rPr>
        <w:t>近一年清科、融中、投中行业榜单上榜情况。</w:t>
      </w:r>
    </w:p>
    <w:p w14:paraId="02B4E752">
      <w:pPr>
        <w:widowControl w:val="0"/>
        <w:numPr>
          <w:ilvl w:val="0"/>
          <w:numId w:val="2"/>
        </w:numPr>
        <w:spacing w:line="540" w:lineRule="exact"/>
        <w:ind w:firstLine="640" w:firstLineChars="200"/>
        <w:jc w:val="both"/>
        <w:rPr>
          <w:rFonts w:hint="eastAsia" w:ascii="仿宋" w:hAnsi="仿宋" w:eastAsia="仿宋" w:cs="Times New Roman"/>
          <w:color w:val="000000"/>
          <w:kern w:val="2"/>
          <w:sz w:val="32"/>
          <w:szCs w:val="32"/>
          <w:shd w:val="clear" w:color="auto" w:fill="FFFFFF"/>
          <w:lang w:val="en-US" w:eastAsia="zh-CN" w:bidi="ar-SA"/>
        </w:rPr>
      </w:pPr>
      <w:r>
        <w:rPr>
          <w:rFonts w:hint="eastAsia" w:ascii="仿宋" w:hAnsi="仿宋" w:eastAsia="仿宋" w:cs="Times New Roman"/>
          <w:color w:val="000000"/>
          <w:kern w:val="2"/>
          <w:sz w:val="32"/>
          <w:szCs w:val="32"/>
          <w:shd w:val="clear" w:color="auto" w:fill="FFFFFF"/>
          <w:lang w:val="en-US" w:eastAsia="zh-CN" w:bidi="ar-SA"/>
        </w:rPr>
        <w:t>加分与扣分项</w:t>
      </w:r>
    </w:p>
    <w:p w14:paraId="6577EE73">
      <w:pPr>
        <w:widowControl w:val="0"/>
        <w:spacing w:line="540" w:lineRule="exact"/>
        <w:ind w:firstLine="640" w:firstLineChars="200"/>
        <w:jc w:val="both"/>
        <w:rPr>
          <w:rFonts w:hint="eastAsia" w:ascii="仿宋" w:hAnsi="仿宋" w:eastAsia="仿宋" w:cs="Times New Roman"/>
          <w:color w:val="000000"/>
          <w:kern w:val="2"/>
          <w:sz w:val="32"/>
          <w:szCs w:val="32"/>
          <w:shd w:val="clear" w:color="auto" w:fill="FFFFFF"/>
          <w:lang w:val="en-US" w:eastAsia="zh-CN" w:bidi="ar-SA"/>
        </w:rPr>
      </w:pPr>
      <w:r>
        <w:rPr>
          <w:rFonts w:hint="eastAsia" w:ascii="仿宋" w:hAnsi="仿宋" w:eastAsia="仿宋" w:cs="Times New Roman"/>
          <w:color w:val="000000"/>
          <w:kern w:val="2"/>
          <w:sz w:val="32"/>
          <w:szCs w:val="32"/>
          <w:shd w:val="clear" w:color="auto" w:fill="FFFFFF"/>
          <w:lang w:val="en-US" w:eastAsia="zh-CN" w:bidi="ar-SA"/>
        </w:rPr>
        <w:t>主要包括拟设立基金是否获得国家级母基金投资、过往受到中基协等风险提示与处罚情况、过往管理基金完成政府产业基金返投情况。</w:t>
      </w:r>
    </w:p>
    <w:p w14:paraId="1437B7FC">
      <w:pPr>
        <w:widowControl w:val="0"/>
        <w:numPr>
          <w:ilvl w:val="255"/>
          <w:numId w:val="0"/>
        </w:numPr>
        <w:spacing w:line="540" w:lineRule="exact"/>
        <w:ind w:left="-17" w:firstLine="640" w:firstLineChars="200"/>
        <w:jc w:val="both"/>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四、母、子基金应具备的条件</w:t>
      </w:r>
    </w:p>
    <w:p w14:paraId="523F56A7">
      <w:pPr>
        <w:spacing w:line="540" w:lineRule="exact"/>
        <w:ind w:firstLine="640" w:firstLineChars="200"/>
        <w:rPr>
          <w:rFonts w:hint="eastAsia" w:ascii="仿宋" w:hAnsi="仿宋" w:eastAsia="仿宋" w:cs="Times New Roman"/>
          <w:color w:val="000000"/>
          <w:sz w:val="32"/>
          <w:szCs w:val="32"/>
          <w:shd w:val="clear" w:color="auto" w:fill="FFFFFF"/>
        </w:rPr>
      </w:pPr>
      <w:r>
        <w:rPr>
          <w:rFonts w:hint="eastAsia" w:ascii="仿宋" w:hAnsi="仿宋" w:eastAsia="仿宋" w:cs="Times New Roman"/>
          <w:color w:val="000000"/>
          <w:sz w:val="32"/>
          <w:szCs w:val="32"/>
          <w:shd w:val="clear" w:color="auto" w:fill="FFFFFF"/>
        </w:rPr>
        <w:t>武汉基金参股设立母、子基金或对已设立母、子基金增资，母、子基金应符合以下条件：</w:t>
      </w:r>
    </w:p>
    <w:p w14:paraId="7EC9FB14">
      <w:pPr>
        <w:spacing w:line="540" w:lineRule="exact"/>
        <w:ind w:firstLine="640" w:firstLineChars="200"/>
        <w:rPr>
          <w:rFonts w:hint="eastAsia" w:ascii="仿宋" w:hAnsi="仿宋" w:eastAsia="仿宋" w:cs="Times New Roman"/>
          <w:color w:val="000000"/>
          <w:sz w:val="32"/>
          <w:szCs w:val="32"/>
          <w:shd w:val="clear" w:color="auto" w:fill="FFFFFF"/>
        </w:rPr>
      </w:pPr>
      <w:r>
        <w:rPr>
          <w:rFonts w:ascii="仿宋" w:hAnsi="仿宋" w:eastAsia="仿宋" w:cs="Times New Roman"/>
          <w:color w:val="000000"/>
          <w:sz w:val="32"/>
          <w:szCs w:val="32"/>
          <w:shd w:val="clear" w:color="auto" w:fill="FFFFFF"/>
        </w:rPr>
        <w:t>（</w:t>
      </w:r>
      <w:r>
        <w:rPr>
          <w:rFonts w:hint="eastAsia" w:ascii="仿宋" w:hAnsi="仿宋" w:eastAsia="仿宋" w:cs="Times New Roman"/>
          <w:color w:val="000000"/>
          <w:sz w:val="32"/>
          <w:szCs w:val="32"/>
          <w:shd w:val="clear" w:color="auto" w:fill="FFFFFF"/>
        </w:rPr>
        <w:t>一</w:t>
      </w:r>
      <w:r>
        <w:rPr>
          <w:rFonts w:ascii="仿宋" w:hAnsi="仿宋" w:eastAsia="仿宋" w:cs="Times New Roman"/>
          <w:color w:val="000000"/>
          <w:sz w:val="32"/>
          <w:szCs w:val="32"/>
          <w:shd w:val="clear" w:color="auto" w:fill="FFFFFF"/>
        </w:rPr>
        <w:t>）注册区域：武汉基金参与设立的母</w:t>
      </w:r>
      <w:r>
        <w:rPr>
          <w:rFonts w:hint="eastAsia" w:ascii="仿宋" w:hAnsi="仿宋" w:eastAsia="仿宋" w:cs="Times New Roman"/>
          <w:color w:val="000000"/>
          <w:sz w:val="32"/>
          <w:szCs w:val="32"/>
          <w:shd w:val="clear" w:color="auto" w:fill="FFFFFF"/>
        </w:rPr>
        <w:t>、</w:t>
      </w:r>
      <w:r>
        <w:rPr>
          <w:rFonts w:ascii="仿宋" w:hAnsi="仿宋" w:eastAsia="仿宋" w:cs="Times New Roman"/>
          <w:color w:val="000000"/>
          <w:sz w:val="32"/>
          <w:szCs w:val="32"/>
          <w:shd w:val="clear" w:color="auto" w:fill="FFFFFF"/>
        </w:rPr>
        <w:t>子基金应当在武汉市注册</w:t>
      </w:r>
      <w:r>
        <w:rPr>
          <w:rFonts w:hint="eastAsia" w:ascii="仿宋" w:hAnsi="仿宋" w:eastAsia="仿宋" w:cs="Times New Roman"/>
          <w:color w:val="000000"/>
          <w:sz w:val="32"/>
          <w:szCs w:val="32"/>
          <w:shd w:val="clear" w:color="auto" w:fill="FFFFFF"/>
        </w:rPr>
        <w:t>，并按照国家有关规定向主管部门和行业协会履行登记备案手续并接受监管</w:t>
      </w:r>
      <w:r>
        <w:rPr>
          <w:rFonts w:ascii="仿宋" w:hAnsi="仿宋" w:eastAsia="仿宋" w:cs="Times New Roman"/>
          <w:color w:val="000000"/>
          <w:sz w:val="32"/>
          <w:szCs w:val="32"/>
          <w:shd w:val="clear" w:color="auto" w:fill="FFFFFF"/>
        </w:rPr>
        <w:t>。</w:t>
      </w:r>
    </w:p>
    <w:p w14:paraId="5107F528">
      <w:pPr>
        <w:spacing w:line="540" w:lineRule="exact"/>
        <w:ind w:firstLine="640" w:firstLineChars="200"/>
        <w:rPr>
          <w:rFonts w:hint="eastAsia" w:ascii="仿宋" w:hAnsi="仿宋" w:eastAsia="仿宋" w:cs="Times New Roman"/>
          <w:color w:val="000000"/>
          <w:sz w:val="32"/>
          <w:szCs w:val="32"/>
          <w:shd w:val="clear" w:color="auto" w:fill="FFFFFF"/>
        </w:rPr>
      </w:pPr>
      <w:r>
        <w:rPr>
          <w:rFonts w:ascii="仿宋" w:hAnsi="仿宋" w:eastAsia="仿宋" w:cs="Times New Roman"/>
          <w:color w:val="000000"/>
          <w:sz w:val="32"/>
          <w:szCs w:val="32"/>
          <w:shd w:val="clear" w:color="auto" w:fill="FFFFFF"/>
        </w:rPr>
        <w:t>（</w:t>
      </w:r>
      <w:r>
        <w:rPr>
          <w:rFonts w:hint="eastAsia" w:ascii="仿宋" w:hAnsi="仿宋" w:eastAsia="仿宋" w:cs="Times New Roman"/>
          <w:color w:val="000000"/>
          <w:sz w:val="32"/>
          <w:szCs w:val="32"/>
          <w:shd w:val="clear" w:color="auto" w:fill="FFFFFF"/>
        </w:rPr>
        <w:t>二</w:t>
      </w:r>
      <w:r>
        <w:rPr>
          <w:rFonts w:ascii="仿宋" w:hAnsi="仿宋" w:eastAsia="仿宋" w:cs="Times New Roman"/>
          <w:color w:val="000000"/>
          <w:sz w:val="32"/>
          <w:szCs w:val="32"/>
          <w:shd w:val="clear" w:color="auto" w:fill="FFFFFF"/>
        </w:rPr>
        <w:t>）基金规模：科创类基金原则上规模不低于1亿元人民币（或等值外币）；产业类基金原则上规模不低于5亿元人民币（或等值外币），母基金原则上规模不低于10亿元人民币（或等值外币）。</w:t>
      </w:r>
    </w:p>
    <w:p w14:paraId="31FF5734">
      <w:pPr>
        <w:spacing w:line="540" w:lineRule="exact"/>
        <w:ind w:firstLine="640" w:firstLineChars="200"/>
        <w:rPr>
          <w:rFonts w:hint="eastAsia" w:ascii="仿宋" w:hAnsi="仿宋" w:eastAsia="仿宋" w:cs="Times New Roman"/>
          <w:color w:val="000000"/>
          <w:sz w:val="32"/>
          <w:szCs w:val="32"/>
          <w:shd w:val="clear" w:color="auto" w:fill="FFFFFF"/>
        </w:rPr>
      </w:pPr>
      <w:r>
        <w:rPr>
          <w:rFonts w:ascii="仿宋" w:hAnsi="仿宋" w:eastAsia="仿宋" w:cs="Times New Roman"/>
          <w:color w:val="000000"/>
          <w:sz w:val="32"/>
          <w:szCs w:val="32"/>
          <w:shd w:val="clear" w:color="auto" w:fill="FFFFFF"/>
        </w:rPr>
        <w:t>（</w:t>
      </w:r>
      <w:r>
        <w:rPr>
          <w:rFonts w:hint="eastAsia" w:ascii="仿宋" w:hAnsi="仿宋" w:eastAsia="仿宋" w:cs="Times New Roman"/>
          <w:color w:val="000000"/>
          <w:sz w:val="32"/>
          <w:szCs w:val="32"/>
          <w:shd w:val="clear" w:color="auto" w:fill="FFFFFF"/>
        </w:rPr>
        <w:t>三</w:t>
      </w:r>
      <w:r>
        <w:rPr>
          <w:rFonts w:ascii="仿宋" w:hAnsi="仿宋" w:eastAsia="仿宋" w:cs="Times New Roman"/>
          <w:color w:val="000000"/>
          <w:sz w:val="32"/>
          <w:szCs w:val="32"/>
          <w:shd w:val="clear" w:color="auto" w:fill="FFFFFF"/>
        </w:rPr>
        <w:t>）募资情况：申请新设基金的，基金管理人在提交基金申报方案时，须至少已经募集到拟设立基金总规模50%的资金，并提供拟出资人的出资</w:t>
      </w:r>
      <w:r>
        <w:rPr>
          <w:rFonts w:hint="eastAsia" w:ascii="仿宋" w:hAnsi="仿宋" w:eastAsia="仿宋" w:cs="Times New Roman"/>
          <w:color w:val="000000"/>
          <w:sz w:val="32"/>
          <w:szCs w:val="32"/>
          <w:shd w:val="clear" w:color="auto" w:fill="FFFFFF"/>
          <w:lang w:val="en-US" w:eastAsia="zh-CN"/>
        </w:rPr>
        <w:t>意向</w:t>
      </w:r>
      <w:r>
        <w:rPr>
          <w:rFonts w:ascii="仿宋" w:hAnsi="仿宋" w:eastAsia="仿宋" w:cs="Times New Roman"/>
          <w:color w:val="000000"/>
          <w:sz w:val="32"/>
          <w:szCs w:val="32"/>
          <w:shd w:val="clear" w:color="auto" w:fill="FFFFFF"/>
        </w:rPr>
        <w:t>函、出资能力证明等材料（拟出资人为各级人民政府或其职能部门直接出资的政府投资基</w:t>
      </w:r>
      <w:r>
        <w:rPr>
          <w:rFonts w:ascii="仿宋" w:hAnsi="仿宋" w:eastAsia="仿宋" w:cs="Times New Roman"/>
          <w:color w:val="000000"/>
          <w:sz w:val="32"/>
          <w:szCs w:val="32"/>
          <w:highlight w:val="none"/>
          <w:shd w:val="clear" w:color="auto" w:fill="FFFFFF"/>
        </w:rPr>
        <w:t>金</w:t>
      </w:r>
      <w:r>
        <w:rPr>
          <w:rFonts w:hint="eastAsia" w:ascii="仿宋" w:hAnsi="仿宋" w:eastAsia="仿宋" w:cs="Times New Roman"/>
          <w:color w:val="000000"/>
          <w:sz w:val="32"/>
          <w:szCs w:val="32"/>
          <w:highlight w:val="none"/>
          <w:shd w:val="clear" w:color="auto" w:fill="FFFFFF"/>
        </w:rPr>
        <w:t>应提供公示等具备同等效力材料</w:t>
      </w:r>
      <w:r>
        <w:rPr>
          <w:rFonts w:ascii="仿宋" w:hAnsi="仿宋" w:eastAsia="仿宋" w:cs="Times New Roman"/>
          <w:color w:val="000000"/>
          <w:sz w:val="32"/>
          <w:szCs w:val="32"/>
          <w:highlight w:val="none"/>
          <w:shd w:val="clear" w:color="auto" w:fill="FFFFFF"/>
        </w:rPr>
        <w:t>）。</w:t>
      </w:r>
      <w:r>
        <w:rPr>
          <w:rFonts w:ascii="仿宋" w:hAnsi="仿宋" w:eastAsia="仿宋" w:cs="Times New Roman"/>
          <w:color w:val="000000"/>
          <w:sz w:val="32"/>
          <w:szCs w:val="32"/>
          <w:shd w:val="clear" w:color="auto" w:fill="FFFFFF"/>
        </w:rPr>
        <w:t>基金申报方案获得通过后，在武汉基金签署合伙协议时，该申报方案中基金管理人不得变动。</w:t>
      </w:r>
    </w:p>
    <w:p w14:paraId="27BCAA64">
      <w:pPr>
        <w:spacing w:line="540" w:lineRule="exact"/>
        <w:ind w:firstLine="640" w:firstLineChars="200"/>
        <w:rPr>
          <w:rFonts w:hint="eastAsia" w:ascii="仿宋" w:hAnsi="仿宋" w:eastAsia="仿宋" w:cs="Times New Roman"/>
          <w:color w:val="000000"/>
          <w:sz w:val="32"/>
          <w:szCs w:val="32"/>
          <w:shd w:val="clear" w:color="auto" w:fill="FFFFFF"/>
        </w:rPr>
      </w:pPr>
      <w:r>
        <w:rPr>
          <w:rFonts w:ascii="仿宋" w:hAnsi="仿宋" w:eastAsia="仿宋" w:cs="Times New Roman"/>
          <w:color w:val="000000"/>
          <w:sz w:val="32"/>
          <w:szCs w:val="32"/>
          <w:shd w:val="clear" w:color="auto" w:fill="FFFFFF"/>
        </w:rPr>
        <w:t>（</w:t>
      </w:r>
      <w:r>
        <w:rPr>
          <w:rFonts w:hint="eastAsia" w:ascii="仿宋" w:hAnsi="仿宋" w:eastAsia="仿宋" w:cs="Times New Roman"/>
          <w:color w:val="000000"/>
          <w:sz w:val="32"/>
          <w:szCs w:val="32"/>
          <w:shd w:val="clear" w:color="auto" w:fill="FFFFFF"/>
        </w:rPr>
        <w:t>四</w:t>
      </w:r>
      <w:r>
        <w:rPr>
          <w:rFonts w:ascii="仿宋" w:hAnsi="仿宋" w:eastAsia="仿宋" w:cs="Times New Roman"/>
          <w:color w:val="000000"/>
          <w:sz w:val="32"/>
          <w:szCs w:val="32"/>
          <w:shd w:val="clear" w:color="auto" w:fill="FFFFFF"/>
        </w:rPr>
        <w:t>）出资比例：武汉基金</w:t>
      </w:r>
      <w:r>
        <w:rPr>
          <w:rFonts w:hint="eastAsia" w:ascii="仿宋" w:hAnsi="仿宋" w:eastAsia="仿宋" w:cs="Times New Roman"/>
          <w:color w:val="000000"/>
          <w:sz w:val="32"/>
          <w:szCs w:val="32"/>
          <w:shd w:val="clear" w:color="auto" w:fill="FFFFFF"/>
        </w:rPr>
        <w:t>参与设立母、子基金，</w:t>
      </w:r>
      <w:r>
        <w:rPr>
          <w:rFonts w:ascii="仿宋" w:hAnsi="仿宋" w:eastAsia="仿宋" w:cs="Times New Roman"/>
          <w:color w:val="000000"/>
          <w:sz w:val="32"/>
          <w:szCs w:val="32"/>
          <w:shd w:val="clear" w:color="auto" w:fill="FFFFFF"/>
        </w:rPr>
        <w:t>出资比例原则上</w:t>
      </w:r>
      <w:r>
        <w:rPr>
          <w:rFonts w:hint="eastAsia" w:ascii="仿宋" w:hAnsi="仿宋" w:eastAsia="仿宋" w:cs="Times New Roman"/>
          <w:color w:val="000000"/>
          <w:sz w:val="32"/>
          <w:szCs w:val="32"/>
          <w:shd w:val="clear" w:color="auto" w:fill="FFFFFF"/>
        </w:rPr>
        <w:t>为母、子</w:t>
      </w:r>
      <w:r>
        <w:rPr>
          <w:rFonts w:ascii="仿宋" w:hAnsi="仿宋" w:eastAsia="仿宋" w:cs="Times New Roman"/>
          <w:color w:val="000000"/>
          <w:sz w:val="32"/>
          <w:szCs w:val="32"/>
          <w:shd w:val="clear" w:color="auto" w:fill="FFFFFF"/>
        </w:rPr>
        <w:t>基金</w:t>
      </w:r>
      <w:r>
        <w:rPr>
          <w:rFonts w:hint="eastAsia" w:ascii="仿宋" w:hAnsi="仿宋" w:eastAsia="仿宋" w:cs="Times New Roman"/>
          <w:color w:val="000000"/>
          <w:sz w:val="32"/>
          <w:szCs w:val="32"/>
          <w:shd w:val="clear" w:color="auto" w:fill="FFFFFF"/>
        </w:rPr>
        <w:t>规模</w:t>
      </w:r>
      <w:r>
        <w:rPr>
          <w:rFonts w:ascii="仿宋" w:hAnsi="仿宋" w:eastAsia="仿宋" w:cs="Times New Roman"/>
          <w:color w:val="000000"/>
          <w:sz w:val="32"/>
          <w:szCs w:val="32"/>
          <w:shd w:val="clear" w:color="auto" w:fill="FFFFFF"/>
        </w:rPr>
        <w:t>的</w:t>
      </w:r>
      <w:r>
        <w:rPr>
          <w:rFonts w:hint="eastAsia" w:ascii="仿宋" w:hAnsi="仿宋" w:eastAsia="仿宋" w:cs="Times New Roman"/>
          <w:color w:val="000000"/>
          <w:sz w:val="32"/>
          <w:szCs w:val="32"/>
          <w:shd w:val="clear" w:color="auto" w:fill="FFFFFF"/>
        </w:rPr>
        <w:t>2</w:t>
      </w:r>
      <w:r>
        <w:rPr>
          <w:rFonts w:ascii="仿宋" w:hAnsi="仿宋" w:eastAsia="仿宋" w:cs="Times New Roman"/>
          <w:color w:val="000000"/>
          <w:sz w:val="32"/>
          <w:szCs w:val="32"/>
          <w:shd w:val="clear" w:color="auto" w:fill="FFFFFF"/>
        </w:rPr>
        <w:t>0%，</w:t>
      </w:r>
      <w:r>
        <w:rPr>
          <w:rFonts w:hint="eastAsia" w:ascii="仿宋" w:hAnsi="仿宋" w:eastAsia="仿宋" w:cs="Times New Roman"/>
          <w:color w:val="000000"/>
          <w:sz w:val="32"/>
          <w:szCs w:val="32"/>
          <w:shd w:val="clear" w:color="auto" w:fill="FFFFFF"/>
        </w:rPr>
        <w:t>在科创类基金中的出资比例可达50%以上</w:t>
      </w:r>
      <w:r>
        <w:rPr>
          <w:rFonts w:ascii="仿宋" w:hAnsi="仿宋" w:eastAsia="仿宋" w:cs="Times New Roman"/>
          <w:color w:val="000000"/>
          <w:sz w:val="32"/>
          <w:szCs w:val="32"/>
          <w:shd w:val="clear" w:color="auto" w:fill="FFFFFF"/>
        </w:rPr>
        <w:t>。</w:t>
      </w:r>
    </w:p>
    <w:p w14:paraId="50F6E70D">
      <w:pPr>
        <w:spacing w:line="540" w:lineRule="exact"/>
        <w:ind w:firstLine="640" w:firstLineChars="200"/>
        <w:rPr>
          <w:rFonts w:hint="eastAsia" w:ascii="仿宋" w:hAnsi="仿宋" w:eastAsia="仿宋" w:cs="Times New Roman"/>
          <w:color w:val="000000"/>
          <w:sz w:val="32"/>
          <w:szCs w:val="32"/>
          <w:shd w:val="clear" w:color="auto" w:fill="FFFFFF"/>
        </w:rPr>
      </w:pPr>
      <w:r>
        <w:rPr>
          <w:rFonts w:ascii="仿宋" w:hAnsi="仿宋" w:eastAsia="仿宋" w:cs="Times New Roman"/>
          <w:color w:val="000000"/>
          <w:sz w:val="32"/>
          <w:szCs w:val="32"/>
          <w:shd w:val="clear" w:color="auto" w:fill="FFFFFF"/>
        </w:rPr>
        <w:t>基金管理人或其关联方在基金中累计出资原则上不低于1%</w:t>
      </w:r>
      <w:r>
        <w:rPr>
          <w:rFonts w:hint="eastAsia" w:ascii="仿宋" w:hAnsi="仿宋" w:eastAsia="仿宋" w:cs="Times New Roman"/>
          <w:color w:val="000000"/>
          <w:sz w:val="32"/>
          <w:szCs w:val="32"/>
          <w:shd w:val="clear" w:color="auto" w:fill="FFFFFF"/>
        </w:rPr>
        <w:t>。</w:t>
      </w:r>
    </w:p>
    <w:p w14:paraId="07B25031">
      <w:pPr>
        <w:spacing w:line="540" w:lineRule="exact"/>
        <w:ind w:firstLine="640" w:firstLineChars="200"/>
        <w:rPr>
          <w:rFonts w:hint="eastAsia" w:ascii="仿宋" w:hAnsi="仿宋" w:eastAsia="仿宋" w:cs="Times New Roman"/>
          <w:color w:val="000000"/>
          <w:sz w:val="32"/>
          <w:szCs w:val="32"/>
          <w:shd w:val="clear" w:color="auto" w:fill="FFFFFF"/>
        </w:rPr>
      </w:pPr>
      <w:r>
        <w:rPr>
          <w:rFonts w:ascii="仿宋" w:hAnsi="仿宋" w:eastAsia="仿宋" w:cs="Times New Roman"/>
          <w:color w:val="000000"/>
          <w:sz w:val="32"/>
          <w:szCs w:val="32"/>
          <w:shd w:val="clear" w:color="auto" w:fill="FFFFFF"/>
        </w:rPr>
        <w:t>（</w:t>
      </w:r>
      <w:r>
        <w:rPr>
          <w:rFonts w:hint="eastAsia" w:ascii="仿宋" w:hAnsi="仿宋" w:eastAsia="仿宋" w:cs="Times New Roman"/>
          <w:color w:val="000000"/>
          <w:sz w:val="32"/>
          <w:szCs w:val="32"/>
          <w:shd w:val="clear" w:color="auto" w:fill="FFFFFF"/>
        </w:rPr>
        <w:t>五</w:t>
      </w:r>
      <w:r>
        <w:rPr>
          <w:rFonts w:ascii="仿宋" w:hAnsi="仿宋" w:eastAsia="仿宋" w:cs="Times New Roman"/>
          <w:color w:val="000000"/>
          <w:sz w:val="32"/>
          <w:szCs w:val="32"/>
          <w:shd w:val="clear" w:color="auto" w:fill="FFFFFF"/>
        </w:rPr>
        <w:t>）出资顺序：武汉基金出资可以一次认缴、分期出资，原则上应在其他社会出资人缴付出资后，按比例出资。</w:t>
      </w:r>
    </w:p>
    <w:p w14:paraId="3A9AE61E">
      <w:pPr>
        <w:spacing w:line="540" w:lineRule="exact"/>
        <w:ind w:firstLine="640" w:firstLineChars="200"/>
        <w:rPr>
          <w:rFonts w:hint="eastAsia" w:ascii="仿宋" w:hAnsi="仿宋" w:eastAsia="仿宋" w:cs="Times New Roman"/>
          <w:color w:val="000000"/>
          <w:sz w:val="32"/>
          <w:szCs w:val="32"/>
          <w:shd w:val="clear" w:color="auto" w:fill="FFFFFF"/>
        </w:rPr>
      </w:pPr>
      <w:r>
        <w:rPr>
          <w:rFonts w:ascii="仿宋" w:hAnsi="仿宋" w:eastAsia="仿宋" w:cs="Times New Roman"/>
          <w:color w:val="000000"/>
          <w:sz w:val="32"/>
          <w:szCs w:val="32"/>
          <w:shd w:val="clear" w:color="auto" w:fill="FFFFFF"/>
        </w:rPr>
        <w:t>（</w:t>
      </w:r>
      <w:r>
        <w:rPr>
          <w:rFonts w:hint="eastAsia" w:ascii="仿宋" w:hAnsi="仿宋" w:eastAsia="仿宋" w:cs="Times New Roman"/>
          <w:color w:val="000000"/>
          <w:sz w:val="32"/>
          <w:szCs w:val="32"/>
          <w:shd w:val="clear" w:color="auto" w:fill="FFFFFF"/>
        </w:rPr>
        <w:t>六</w:t>
      </w:r>
      <w:r>
        <w:rPr>
          <w:rFonts w:ascii="仿宋" w:hAnsi="仿宋" w:eastAsia="仿宋" w:cs="Times New Roman"/>
          <w:color w:val="000000"/>
          <w:sz w:val="32"/>
          <w:szCs w:val="32"/>
          <w:shd w:val="clear" w:color="auto" w:fill="FFFFFF"/>
        </w:rPr>
        <w:t>）存续期限：原则上</w:t>
      </w:r>
      <w:r>
        <w:rPr>
          <w:rFonts w:hint="eastAsia" w:ascii="仿宋" w:hAnsi="仿宋" w:eastAsia="仿宋" w:cs="Times New Roman"/>
          <w:color w:val="000000"/>
          <w:sz w:val="32"/>
          <w:szCs w:val="32"/>
          <w:shd w:val="clear" w:color="auto" w:fill="FFFFFF"/>
        </w:rPr>
        <w:t>母、子</w:t>
      </w:r>
      <w:r>
        <w:rPr>
          <w:rFonts w:ascii="仿宋" w:hAnsi="仿宋" w:eastAsia="仿宋" w:cs="Times New Roman"/>
          <w:color w:val="000000"/>
          <w:sz w:val="32"/>
          <w:szCs w:val="32"/>
          <w:shd w:val="clear" w:color="auto" w:fill="FFFFFF"/>
        </w:rPr>
        <w:t>基金存续期</w:t>
      </w:r>
      <w:r>
        <w:rPr>
          <w:rFonts w:hint="eastAsia" w:ascii="仿宋" w:hAnsi="仿宋" w:eastAsia="仿宋" w:cs="Times New Roman"/>
          <w:color w:val="000000"/>
          <w:sz w:val="32"/>
          <w:szCs w:val="32"/>
          <w:shd w:val="clear" w:color="auto" w:fill="FFFFFF"/>
        </w:rPr>
        <w:t>一般</w:t>
      </w:r>
      <w:r>
        <w:rPr>
          <w:rFonts w:ascii="仿宋" w:hAnsi="仿宋" w:eastAsia="仿宋" w:cs="Times New Roman"/>
          <w:color w:val="000000"/>
          <w:sz w:val="32"/>
          <w:szCs w:val="32"/>
          <w:shd w:val="clear" w:color="auto" w:fill="FFFFFF"/>
        </w:rPr>
        <w:t>不超过</w:t>
      </w:r>
      <w:r>
        <w:rPr>
          <w:rFonts w:hint="eastAsia" w:ascii="仿宋" w:hAnsi="仿宋" w:eastAsia="仿宋" w:cs="Times New Roman"/>
          <w:color w:val="000000"/>
          <w:sz w:val="32"/>
          <w:szCs w:val="32"/>
          <w:shd w:val="clear" w:color="auto" w:fill="FFFFFF"/>
        </w:rPr>
        <w:t>10</w:t>
      </w:r>
      <w:r>
        <w:rPr>
          <w:rFonts w:ascii="仿宋" w:hAnsi="仿宋" w:eastAsia="仿宋" w:cs="Times New Roman"/>
          <w:color w:val="000000"/>
          <w:sz w:val="32"/>
          <w:szCs w:val="32"/>
          <w:shd w:val="clear" w:color="auto" w:fill="FFFFFF"/>
        </w:rPr>
        <w:t>年。存续期满确需延期的，由</w:t>
      </w:r>
      <w:r>
        <w:rPr>
          <w:rFonts w:hint="eastAsia" w:ascii="仿宋" w:hAnsi="仿宋" w:eastAsia="仿宋" w:cs="Times New Roman"/>
          <w:color w:val="000000"/>
          <w:sz w:val="32"/>
          <w:szCs w:val="32"/>
          <w:shd w:val="clear" w:color="auto" w:fill="FFFFFF"/>
        </w:rPr>
        <w:t>母、子</w:t>
      </w:r>
      <w:r>
        <w:rPr>
          <w:rFonts w:ascii="仿宋" w:hAnsi="仿宋" w:eastAsia="仿宋" w:cs="Times New Roman"/>
          <w:color w:val="000000"/>
          <w:sz w:val="32"/>
          <w:szCs w:val="32"/>
          <w:shd w:val="clear" w:color="auto" w:fill="FFFFFF"/>
        </w:rPr>
        <w:t>基金决策机构审议通过后办理延期手续。</w:t>
      </w:r>
    </w:p>
    <w:p w14:paraId="29CEBCD4">
      <w:pPr>
        <w:spacing w:line="540" w:lineRule="exact"/>
        <w:ind w:firstLine="640" w:firstLineChars="200"/>
        <w:rPr>
          <w:rFonts w:hint="eastAsia" w:ascii="仿宋" w:hAnsi="仿宋" w:eastAsia="仿宋" w:cs="Times New Roman"/>
          <w:color w:val="000000"/>
          <w:sz w:val="32"/>
          <w:szCs w:val="32"/>
          <w:shd w:val="clear" w:color="auto" w:fill="FFFFFF"/>
        </w:rPr>
      </w:pPr>
      <w:r>
        <w:rPr>
          <w:rFonts w:hint="eastAsia" w:ascii="仿宋" w:hAnsi="仿宋" w:eastAsia="仿宋" w:cs="Times New Roman"/>
          <w:color w:val="000000"/>
          <w:sz w:val="32"/>
          <w:szCs w:val="32"/>
          <w:shd w:val="clear" w:color="auto" w:fill="FFFFFF"/>
        </w:rPr>
        <w:t>（七）返投要求</w:t>
      </w:r>
    </w:p>
    <w:p w14:paraId="50A8EA36">
      <w:pPr>
        <w:spacing w:line="540" w:lineRule="exact"/>
        <w:ind w:firstLine="640" w:firstLineChars="200"/>
        <w:rPr>
          <w:rFonts w:hint="eastAsia" w:ascii="仿宋" w:hAnsi="仿宋" w:eastAsia="仿宋" w:cs="Times New Roman"/>
          <w:color w:val="000000"/>
          <w:sz w:val="32"/>
          <w:szCs w:val="32"/>
          <w:shd w:val="clear" w:color="auto" w:fill="FFFFFF"/>
        </w:rPr>
      </w:pPr>
      <w:r>
        <w:rPr>
          <w:rFonts w:ascii="仿宋" w:hAnsi="仿宋" w:eastAsia="仿宋" w:cs="Times New Roman"/>
          <w:color w:val="000000"/>
          <w:sz w:val="32"/>
          <w:szCs w:val="32"/>
          <w:shd w:val="clear" w:color="auto" w:fill="FFFFFF"/>
        </w:rPr>
        <w:t>母、子基金</w:t>
      </w:r>
      <w:r>
        <w:rPr>
          <w:rFonts w:hint="eastAsia" w:ascii="仿宋" w:hAnsi="仿宋" w:eastAsia="仿宋" w:cs="Times New Roman"/>
          <w:color w:val="000000"/>
          <w:sz w:val="32"/>
          <w:szCs w:val="32"/>
          <w:shd w:val="clear" w:color="auto" w:fill="FFFFFF"/>
        </w:rPr>
        <w:t>在武汉市投资</w:t>
      </w:r>
      <w:r>
        <w:rPr>
          <w:rFonts w:ascii="仿宋" w:hAnsi="仿宋" w:eastAsia="仿宋" w:cs="Times New Roman"/>
          <w:color w:val="000000"/>
          <w:sz w:val="32"/>
          <w:szCs w:val="32"/>
          <w:shd w:val="clear" w:color="auto" w:fill="FFFFFF"/>
        </w:rPr>
        <w:t>金额应不低于</w:t>
      </w:r>
      <w:r>
        <w:rPr>
          <w:rFonts w:hint="eastAsia" w:ascii="仿宋" w:hAnsi="仿宋" w:eastAsia="仿宋" w:cs="Times New Roman"/>
          <w:color w:val="000000"/>
          <w:sz w:val="32"/>
          <w:szCs w:val="32"/>
          <w:shd w:val="clear" w:color="auto" w:fill="FFFFFF"/>
        </w:rPr>
        <w:t>武汉</w:t>
      </w:r>
      <w:r>
        <w:rPr>
          <w:rFonts w:ascii="仿宋" w:hAnsi="仿宋" w:eastAsia="仿宋" w:cs="Times New Roman"/>
          <w:color w:val="000000"/>
          <w:sz w:val="32"/>
          <w:szCs w:val="32"/>
          <w:shd w:val="clear" w:color="auto" w:fill="FFFFFF"/>
        </w:rPr>
        <w:t>基金出资额的1倍，并应当在基金</w:t>
      </w:r>
      <w:r>
        <w:rPr>
          <w:rFonts w:hint="eastAsia" w:ascii="仿宋" w:hAnsi="仿宋" w:eastAsia="仿宋" w:cs="Times New Roman"/>
          <w:color w:val="000000"/>
          <w:sz w:val="32"/>
          <w:szCs w:val="32"/>
          <w:shd w:val="clear" w:color="auto" w:fill="FFFFFF"/>
        </w:rPr>
        <w:t>合伙协议</w:t>
      </w:r>
      <w:r>
        <w:rPr>
          <w:rFonts w:ascii="仿宋" w:hAnsi="仿宋" w:eastAsia="仿宋" w:cs="Times New Roman"/>
          <w:color w:val="000000"/>
          <w:sz w:val="32"/>
          <w:szCs w:val="32"/>
          <w:shd w:val="clear" w:color="auto" w:fill="FFFFFF"/>
        </w:rPr>
        <w:t>中作出明确约定。</w:t>
      </w:r>
    </w:p>
    <w:p w14:paraId="51A2F0C0">
      <w:pPr>
        <w:spacing w:line="540" w:lineRule="exact"/>
        <w:ind w:firstLine="640" w:firstLineChars="200"/>
        <w:rPr>
          <w:rFonts w:hint="eastAsia" w:ascii="仿宋" w:hAnsi="仿宋" w:eastAsia="仿宋" w:cs="Times New Roman"/>
          <w:color w:val="000000"/>
          <w:sz w:val="32"/>
          <w:szCs w:val="32"/>
          <w:highlight w:val="none"/>
          <w:shd w:val="clear" w:color="auto" w:fill="FFFFFF"/>
        </w:rPr>
      </w:pPr>
      <w:r>
        <w:rPr>
          <w:rFonts w:ascii="仿宋" w:hAnsi="仿宋" w:eastAsia="仿宋" w:cs="Times New Roman"/>
          <w:color w:val="000000"/>
          <w:sz w:val="32"/>
          <w:szCs w:val="32"/>
          <w:shd w:val="clear" w:color="auto" w:fill="FFFFFF"/>
        </w:rPr>
        <w:t>（</w:t>
      </w:r>
      <w:r>
        <w:rPr>
          <w:rFonts w:hint="eastAsia" w:ascii="仿宋" w:hAnsi="仿宋" w:eastAsia="仿宋" w:cs="Times New Roman"/>
          <w:color w:val="000000"/>
          <w:sz w:val="32"/>
          <w:szCs w:val="32"/>
          <w:shd w:val="clear" w:color="auto" w:fill="FFFFFF"/>
        </w:rPr>
        <w:t>八</w:t>
      </w:r>
      <w:r>
        <w:rPr>
          <w:rFonts w:ascii="仿宋" w:hAnsi="仿宋" w:eastAsia="仿宋" w:cs="Times New Roman"/>
          <w:color w:val="000000"/>
          <w:sz w:val="32"/>
          <w:szCs w:val="32"/>
          <w:shd w:val="clear" w:color="auto" w:fill="FFFFFF"/>
        </w:rPr>
        <w:t>）</w:t>
      </w:r>
      <w:r>
        <w:rPr>
          <w:rFonts w:hint="eastAsia" w:ascii="仿宋" w:hAnsi="仿宋" w:eastAsia="仿宋" w:cs="Times New Roman"/>
          <w:color w:val="000000"/>
          <w:sz w:val="32"/>
          <w:szCs w:val="32"/>
          <w:highlight w:val="none"/>
          <w:shd w:val="clear" w:color="auto" w:fill="FFFFFF"/>
        </w:rPr>
        <w:t>管理费用</w:t>
      </w:r>
      <w:r>
        <w:rPr>
          <w:rFonts w:ascii="仿宋" w:hAnsi="仿宋" w:eastAsia="仿宋" w:cs="Times New Roman"/>
          <w:color w:val="000000"/>
          <w:sz w:val="32"/>
          <w:szCs w:val="32"/>
          <w:highlight w:val="none"/>
          <w:shd w:val="clear" w:color="auto" w:fill="FFFFFF"/>
        </w:rPr>
        <w:t>：投资期内，原则上以参股基金实缴出资总额为管理费计算基数；退出期内，以参股基金未退出项目投资成本为管理费计算基数。参股基金管理机构每年最高收取管理费比例不超过2%，鼓励投资期后降低管理费率。原则上母子基金为同一管理人的不重复收取管理费，延长期、清算期不收取费用，且对</w:t>
      </w:r>
      <w:r>
        <w:rPr>
          <w:rFonts w:hint="eastAsia" w:ascii="仿宋" w:hAnsi="仿宋" w:eastAsia="仿宋" w:cs="Times New Roman"/>
          <w:color w:val="000000"/>
          <w:sz w:val="32"/>
          <w:szCs w:val="32"/>
          <w:highlight w:val="none"/>
          <w:shd w:val="clear" w:color="auto" w:fill="FFFFFF"/>
        </w:rPr>
        <w:t>武汉</w:t>
      </w:r>
      <w:r>
        <w:rPr>
          <w:rFonts w:ascii="仿宋" w:hAnsi="仿宋" w:eastAsia="仿宋" w:cs="Times New Roman"/>
          <w:color w:val="000000"/>
          <w:sz w:val="32"/>
          <w:szCs w:val="32"/>
          <w:highlight w:val="none"/>
          <w:shd w:val="clear" w:color="auto" w:fill="FFFFFF"/>
        </w:rPr>
        <w:t>基金管理费收取标准不得高于其他出资人。</w:t>
      </w:r>
    </w:p>
    <w:p w14:paraId="4F1EAEB2">
      <w:pPr>
        <w:spacing w:line="540" w:lineRule="exact"/>
        <w:ind w:firstLine="640" w:firstLineChars="200"/>
        <w:rPr>
          <w:rFonts w:hint="eastAsia" w:ascii="仿宋" w:hAnsi="仿宋" w:eastAsia="仿宋" w:cs="Times New Roman"/>
          <w:color w:val="000000"/>
          <w:sz w:val="32"/>
          <w:szCs w:val="32"/>
          <w:highlight w:val="none"/>
          <w:shd w:val="clear" w:color="auto" w:fill="FFFFFF"/>
        </w:rPr>
      </w:pPr>
      <w:r>
        <w:rPr>
          <w:rFonts w:ascii="仿宋" w:hAnsi="仿宋" w:eastAsia="仿宋" w:cs="Times New Roman"/>
          <w:color w:val="000000"/>
          <w:sz w:val="32"/>
          <w:szCs w:val="32"/>
          <w:highlight w:val="none"/>
          <w:shd w:val="clear" w:color="auto" w:fill="FFFFFF"/>
        </w:rPr>
        <w:t>（</w:t>
      </w:r>
      <w:r>
        <w:rPr>
          <w:rFonts w:hint="eastAsia" w:ascii="仿宋" w:hAnsi="仿宋" w:eastAsia="仿宋" w:cs="Times New Roman"/>
          <w:color w:val="000000"/>
          <w:sz w:val="32"/>
          <w:szCs w:val="32"/>
          <w:highlight w:val="none"/>
          <w:shd w:val="clear" w:color="auto" w:fill="FFFFFF"/>
        </w:rPr>
        <w:t>九</w:t>
      </w:r>
      <w:r>
        <w:rPr>
          <w:rFonts w:ascii="仿宋" w:hAnsi="仿宋" w:eastAsia="仿宋" w:cs="Times New Roman"/>
          <w:color w:val="000000"/>
          <w:sz w:val="32"/>
          <w:szCs w:val="32"/>
          <w:highlight w:val="none"/>
          <w:shd w:val="clear" w:color="auto" w:fill="FFFFFF"/>
        </w:rPr>
        <w:t>）投资决策：基金采取市场化机制运作，由基金管理人依据合伙协议等相关协议的约定进行投资决策。武汉基金原则上不参与基金的日常管理，经与基金协商，通过项目合规性审核、委派观察员或投委会委员、对基金托管账户监管等措施，维护武汉基金权益。基金管理人须在投资决策前至少5个工作日将项目信息提交武汉基金。武汉基金对基金拟投资项目是否符合合伙协议、本申报指南及国家相关规定进行合规性审核。</w:t>
      </w:r>
    </w:p>
    <w:p w14:paraId="25B244D9">
      <w:pPr>
        <w:spacing w:line="540" w:lineRule="exact"/>
        <w:ind w:firstLine="640" w:firstLineChars="200"/>
        <w:rPr>
          <w:rFonts w:hint="eastAsia" w:ascii="仿宋" w:hAnsi="仿宋" w:eastAsia="仿宋" w:cs="Times New Roman"/>
          <w:color w:val="000000"/>
          <w:sz w:val="32"/>
          <w:szCs w:val="32"/>
          <w:shd w:val="clear" w:color="auto" w:fill="FFFFFF"/>
        </w:rPr>
      </w:pPr>
      <w:r>
        <w:rPr>
          <w:rFonts w:ascii="仿宋" w:hAnsi="仿宋" w:eastAsia="仿宋" w:cs="Times New Roman"/>
          <w:color w:val="000000"/>
          <w:sz w:val="32"/>
          <w:szCs w:val="32"/>
          <w:shd w:val="clear" w:color="auto" w:fill="FFFFFF"/>
        </w:rPr>
        <w:t>（十）专注度要求：</w:t>
      </w:r>
      <w:r>
        <w:rPr>
          <w:rFonts w:hint="eastAsia" w:ascii="仿宋" w:hAnsi="仿宋" w:eastAsia="仿宋" w:cs="Times New Roman"/>
          <w:color w:val="000000"/>
          <w:sz w:val="32"/>
          <w:szCs w:val="32"/>
          <w:shd w:val="clear" w:color="auto" w:fill="FFFFFF"/>
        </w:rPr>
        <w:t>母、子</w:t>
      </w:r>
      <w:r>
        <w:rPr>
          <w:rFonts w:ascii="仿宋" w:hAnsi="仿宋" w:eastAsia="仿宋" w:cs="Times New Roman"/>
          <w:color w:val="000000"/>
          <w:sz w:val="32"/>
          <w:szCs w:val="32"/>
          <w:shd w:val="clear" w:color="auto" w:fill="FFFFFF"/>
        </w:rPr>
        <w:t>基金合伙协议须对基金投委会委员和管理团队的核心人员进行锁定。被锁定人员如发生人员变动须经</w:t>
      </w:r>
      <w:r>
        <w:rPr>
          <w:rFonts w:hint="eastAsia" w:ascii="仿宋" w:hAnsi="仿宋" w:eastAsia="仿宋" w:cs="Times New Roman"/>
          <w:color w:val="000000"/>
          <w:sz w:val="32"/>
          <w:szCs w:val="32"/>
          <w:shd w:val="clear" w:color="auto" w:fill="FFFFFF"/>
        </w:rPr>
        <w:t>母、子基金</w:t>
      </w:r>
      <w:r>
        <w:rPr>
          <w:rFonts w:ascii="仿宋" w:hAnsi="仿宋" w:eastAsia="仿宋" w:cs="Times New Roman"/>
          <w:color w:val="000000"/>
          <w:sz w:val="32"/>
          <w:szCs w:val="32"/>
          <w:shd w:val="clear" w:color="auto" w:fill="FFFFFF"/>
        </w:rPr>
        <w:t>合伙人大会等基金相关权利机构表决通过</w:t>
      </w:r>
      <w:r>
        <w:rPr>
          <w:rFonts w:hint="eastAsia" w:ascii="仿宋" w:hAnsi="仿宋" w:eastAsia="仿宋" w:cs="Times New Roman"/>
          <w:color w:val="000000"/>
          <w:sz w:val="32"/>
          <w:szCs w:val="32"/>
          <w:shd w:val="clear" w:color="auto" w:fill="FFFFFF"/>
        </w:rPr>
        <w:t>并取得武汉基金同意</w:t>
      </w:r>
      <w:r>
        <w:rPr>
          <w:rFonts w:ascii="仿宋" w:hAnsi="仿宋" w:eastAsia="仿宋" w:cs="Times New Roman"/>
          <w:color w:val="000000"/>
          <w:sz w:val="32"/>
          <w:szCs w:val="32"/>
          <w:shd w:val="clear" w:color="auto" w:fill="FFFFFF"/>
        </w:rPr>
        <w:t>。在</w:t>
      </w:r>
      <w:r>
        <w:rPr>
          <w:rFonts w:hint="eastAsia" w:ascii="仿宋" w:hAnsi="仿宋" w:eastAsia="仿宋" w:cs="Times New Roman"/>
          <w:color w:val="000000"/>
          <w:sz w:val="32"/>
          <w:szCs w:val="32"/>
          <w:shd w:val="clear" w:color="auto" w:fill="FFFFFF"/>
        </w:rPr>
        <w:t>母、子</w:t>
      </w:r>
      <w:r>
        <w:rPr>
          <w:rFonts w:ascii="仿宋" w:hAnsi="仿宋" w:eastAsia="仿宋" w:cs="Times New Roman"/>
          <w:color w:val="000000"/>
          <w:sz w:val="32"/>
          <w:szCs w:val="32"/>
          <w:shd w:val="clear" w:color="auto" w:fill="FFFFFF"/>
        </w:rPr>
        <w:t>基金完成70%的投资进度之前，</w:t>
      </w:r>
      <w:r>
        <w:rPr>
          <w:rFonts w:hint="eastAsia" w:ascii="仿宋" w:hAnsi="仿宋" w:eastAsia="仿宋" w:cs="Times New Roman"/>
          <w:color w:val="000000"/>
          <w:sz w:val="32"/>
          <w:szCs w:val="32"/>
          <w:shd w:val="clear" w:color="auto" w:fill="FFFFFF"/>
        </w:rPr>
        <w:t>被锁定人员不得作为其他基金（非武汉基金出资基金）的关键人参与投资相同领域且相同地域的基金，母、子基金管理机构不得募集、管理相同投资领域且相同地域的其他基金</w:t>
      </w:r>
      <w:r>
        <w:rPr>
          <w:rFonts w:ascii="仿宋" w:hAnsi="仿宋" w:eastAsia="仿宋" w:cs="Times New Roman"/>
          <w:color w:val="000000"/>
          <w:sz w:val="32"/>
          <w:szCs w:val="32"/>
          <w:shd w:val="clear" w:color="auto" w:fill="FFFFFF"/>
        </w:rPr>
        <w:t>。</w:t>
      </w:r>
    </w:p>
    <w:p w14:paraId="049C9157">
      <w:pPr>
        <w:spacing w:line="540" w:lineRule="exact"/>
        <w:ind w:firstLine="640" w:firstLineChars="200"/>
        <w:rPr>
          <w:rFonts w:hint="eastAsia" w:ascii="仿宋" w:hAnsi="仿宋" w:eastAsia="仿宋" w:cs="Times New Roman"/>
          <w:color w:val="000000"/>
          <w:sz w:val="32"/>
          <w:szCs w:val="32"/>
          <w:shd w:val="clear" w:color="auto" w:fill="FFFFFF"/>
        </w:rPr>
      </w:pPr>
      <w:r>
        <w:rPr>
          <w:rFonts w:ascii="仿宋" w:hAnsi="仿宋" w:eastAsia="仿宋" w:cs="Times New Roman"/>
          <w:color w:val="000000"/>
          <w:sz w:val="32"/>
          <w:szCs w:val="32"/>
          <w:shd w:val="clear" w:color="auto" w:fill="FFFFFF"/>
        </w:rPr>
        <w:t>（十</w:t>
      </w:r>
      <w:r>
        <w:rPr>
          <w:rFonts w:hint="eastAsia" w:ascii="仿宋" w:hAnsi="仿宋" w:eastAsia="仿宋" w:cs="Times New Roman"/>
          <w:color w:val="000000"/>
          <w:sz w:val="32"/>
          <w:szCs w:val="32"/>
          <w:shd w:val="clear" w:color="auto" w:fill="FFFFFF"/>
        </w:rPr>
        <w:t>一</w:t>
      </w:r>
      <w:r>
        <w:rPr>
          <w:rFonts w:ascii="仿宋" w:hAnsi="仿宋" w:eastAsia="仿宋" w:cs="Times New Roman"/>
          <w:color w:val="000000"/>
          <w:sz w:val="32"/>
          <w:szCs w:val="32"/>
          <w:shd w:val="clear" w:color="auto" w:fill="FFFFFF"/>
        </w:rPr>
        <w:t>）资金托管：</w:t>
      </w:r>
      <w:r>
        <w:rPr>
          <w:rFonts w:hint="eastAsia" w:ascii="仿宋" w:hAnsi="仿宋" w:eastAsia="仿宋" w:cs="Times New Roman"/>
          <w:color w:val="000000"/>
          <w:sz w:val="32"/>
          <w:szCs w:val="32"/>
          <w:shd w:val="clear" w:color="auto" w:fill="FFFFFF"/>
        </w:rPr>
        <w:t>武汉基金参与的母、子</w:t>
      </w:r>
      <w:r>
        <w:rPr>
          <w:rFonts w:ascii="仿宋" w:hAnsi="仿宋" w:eastAsia="仿宋" w:cs="Times New Roman"/>
          <w:color w:val="000000"/>
          <w:sz w:val="32"/>
          <w:szCs w:val="32"/>
          <w:shd w:val="clear" w:color="auto" w:fill="FFFFFF"/>
        </w:rPr>
        <w:t>基金应当委托商业银行托管，托管银行应在中国境内设立5年以上，具有基金托管资格和托管经验，近3年无重大过失、无</w:t>
      </w:r>
      <w:r>
        <w:rPr>
          <w:rFonts w:hint="eastAsia" w:ascii="仿宋" w:hAnsi="仿宋" w:eastAsia="仿宋" w:cs="Times New Roman"/>
          <w:color w:val="000000"/>
          <w:sz w:val="32"/>
          <w:szCs w:val="32"/>
          <w:shd w:val="clear" w:color="auto" w:fill="FFFFFF"/>
        </w:rPr>
        <w:t>重大经营风险</w:t>
      </w:r>
      <w:r>
        <w:rPr>
          <w:rFonts w:ascii="仿宋" w:hAnsi="仿宋" w:eastAsia="仿宋" w:cs="Times New Roman"/>
          <w:color w:val="000000"/>
          <w:sz w:val="32"/>
          <w:szCs w:val="32"/>
          <w:shd w:val="clear" w:color="auto" w:fill="FFFFFF"/>
        </w:rPr>
        <w:t>。</w:t>
      </w:r>
    </w:p>
    <w:p w14:paraId="2A092946">
      <w:pPr>
        <w:spacing w:line="540" w:lineRule="exact"/>
        <w:ind w:firstLine="640" w:firstLineChars="200"/>
        <w:rPr>
          <w:rFonts w:hint="eastAsia" w:ascii="仿宋" w:hAnsi="仿宋" w:eastAsia="仿宋" w:cs="Times New Roman"/>
          <w:color w:val="000000"/>
          <w:sz w:val="32"/>
          <w:szCs w:val="32"/>
          <w:shd w:val="clear" w:color="auto" w:fill="FFFFFF"/>
        </w:rPr>
      </w:pPr>
      <w:r>
        <w:rPr>
          <w:rFonts w:ascii="仿宋" w:hAnsi="仿宋" w:eastAsia="仿宋" w:cs="Times New Roman"/>
          <w:color w:val="000000"/>
          <w:sz w:val="32"/>
          <w:szCs w:val="32"/>
          <w:shd w:val="clear" w:color="auto" w:fill="FFFFFF"/>
        </w:rPr>
        <w:t>（十</w:t>
      </w:r>
      <w:r>
        <w:rPr>
          <w:rFonts w:hint="eastAsia" w:ascii="仿宋" w:hAnsi="仿宋" w:eastAsia="仿宋" w:cs="Times New Roman"/>
          <w:color w:val="000000"/>
          <w:sz w:val="32"/>
          <w:szCs w:val="32"/>
          <w:shd w:val="clear" w:color="auto" w:fill="FFFFFF"/>
        </w:rPr>
        <w:t>二</w:t>
      </w:r>
      <w:r>
        <w:rPr>
          <w:rFonts w:ascii="仿宋" w:hAnsi="仿宋" w:eastAsia="仿宋" w:cs="Times New Roman"/>
          <w:color w:val="000000"/>
          <w:sz w:val="32"/>
          <w:szCs w:val="32"/>
          <w:shd w:val="clear" w:color="auto" w:fill="FFFFFF"/>
        </w:rPr>
        <w:t>）收益分配：基金投资项目退出后，投资回收资金不得再用于对外投资，须及时按合伙协议等相关协议的约定向投资人进行分配。分配</w:t>
      </w:r>
      <w:r>
        <w:rPr>
          <w:rFonts w:hint="eastAsia" w:ascii="仿宋" w:hAnsi="仿宋" w:eastAsia="仿宋" w:cs="Times New Roman"/>
          <w:color w:val="000000"/>
          <w:sz w:val="32"/>
          <w:szCs w:val="32"/>
          <w:shd w:val="clear" w:color="auto" w:fill="FFFFFF"/>
        </w:rPr>
        <w:t>原则上</w:t>
      </w:r>
      <w:r>
        <w:rPr>
          <w:rFonts w:ascii="仿宋" w:hAnsi="仿宋" w:eastAsia="仿宋" w:cs="Times New Roman"/>
          <w:color w:val="000000"/>
          <w:sz w:val="32"/>
          <w:szCs w:val="32"/>
          <w:shd w:val="clear" w:color="auto" w:fill="FFFFFF"/>
        </w:rPr>
        <w:t>采取“先回本后分利”方式，</w:t>
      </w:r>
      <w:r>
        <w:rPr>
          <w:rFonts w:hint="eastAsia" w:ascii="仿宋" w:hAnsi="仿宋" w:eastAsia="仿宋" w:cs="Times New Roman"/>
          <w:color w:val="000000"/>
          <w:sz w:val="32"/>
          <w:szCs w:val="32"/>
          <w:shd w:val="clear" w:color="auto" w:fill="FFFFFF"/>
        </w:rPr>
        <w:t>也可根据基金实际情况，由武汉基金和其他出资人协商确定</w:t>
      </w:r>
      <w:r>
        <w:rPr>
          <w:rFonts w:ascii="仿宋" w:hAnsi="仿宋" w:eastAsia="仿宋" w:cs="Times New Roman"/>
          <w:color w:val="000000"/>
          <w:sz w:val="32"/>
          <w:szCs w:val="32"/>
          <w:shd w:val="clear" w:color="auto" w:fill="FFFFFF"/>
        </w:rPr>
        <w:t>。</w:t>
      </w:r>
    </w:p>
    <w:p w14:paraId="5890114A">
      <w:pPr>
        <w:spacing w:line="540" w:lineRule="exact"/>
        <w:ind w:firstLine="640" w:firstLineChars="200"/>
        <w:rPr>
          <w:rFonts w:hint="eastAsia" w:ascii="仿宋" w:hAnsi="仿宋" w:eastAsia="仿宋" w:cs="Times New Roman"/>
          <w:color w:val="000000"/>
          <w:sz w:val="32"/>
          <w:szCs w:val="32"/>
          <w:highlight w:val="yellow"/>
          <w:shd w:val="clear" w:color="auto" w:fill="FFFFFF"/>
        </w:rPr>
      </w:pPr>
      <w:r>
        <w:rPr>
          <w:rFonts w:ascii="仿宋" w:hAnsi="仿宋" w:eastAsia="仿宋" w:cs="Times New Roman"/>
          <w:color w:val="000000"/>
          <w:sz w:val="32"/>
          <w:szCs w:val="32"/>
          <w:shd w:val="clear" w:color="auto" w:fill="FFFFFF"/>
        </w:rPr>
        <w:t>（十</w:t>
      </w:r>
      <w:r>
        <w:rPr>
          <w:rFonts w:hint="eastAsia" w:ascii="仿宋" w:hAnsi="仿宋" w:eastAsia="仿宋" w:cs="Times New Roman"/>
          <w:color w:val="000000"/>
          <w:sz w:val="32"/>
          <w:szCs w:val="32"/>
          <w:shd w:val="clear" w:color="auto" w:fill="FFFFFF"/>
        </w:rPr>
        <w:t>三</w:t>
      </w:r>
      <w:r>
        <w:rPr>
          <w:rFonts w:ascii="仿宋" w:hAnsi="仿宋" w:eastAsia="仿宋" w:cs="Times New Roman"/>
          <w:color w:val="000000"/>
          <w:sz w:val="32"/>
          <w:szCs w:val="32"/>
          <w:shd w:val="clear" w:color="auto" w:fill="FFFFFF"/>
        </w:rPr>
        <w:t>）投资限制</w:t>
      </w:r>
    </w:p>
    <w:p w14:paraId="166F7052">
      <w:pPr>
        <w:spacing w:line="540" w:lineRule="exact"/>
        <w:ind w:firstLine="640" w:firstLineChars="200"/>
        <w:rPr>
          <w:rFonts w:hint="eastAsia" w:ascii="仿宋" w:hAnsi="仿宋" w:eastAsia="仿宋" w:cs="Times New Roman"/>
          <w:color w:val="000000"/>
          <w:sz w:val="32"/>
          <w:szCs w:val="32"/>
          <w:shd w:val="clear" w:color="auto" w:fill="FFFFFF"/>
        </w:rPr>
      </w:pPr>
      <w:r>
        <w:rPr>
          <w:rFonts w:hint="eastAsia" w:ascii="仿宋" w:hAnsi="仿宋" w:eastAsia="仿宋" w:cs="Times New Roman"/>
          <w:color w:val="000000"/>
          <w:sz w:val="32"/>
          <w:szCs w:val="32"/>
          <w:shd w:val="clear" w:color="auto" w:fill="FFFFFF"/>
        </w:rPr>
        <w:t>母、子</w:t>
      </w:r>
      <w:r>
        <w:rPr>
          <w:rFonts w:ascii="仿宋" w:hAnsi="仿宋" w:eastAsia="仿宋" w:cs="Times New Roman"/>
          <w:color w:val="000000"/>
          <w:sz w:val="32"/>
          <w:szCs w:val="32"/>
          <w:shd w:val="clear" w:color="auto" w:fill="FFFFFF"/>
        </w:rPr>
        <w:t>基金不得从事以下业务：</w:t>
      </w:r>
    </w:p>
    <w:p w14:paraId="102ADC54">
      <w:pPr>
        <w:spacing w:line="540" w:lineRule="exact"/>
        <w:ind w:firstLine="640" w:firstLineChars="200"/>
        <w:rPr>
          <w:rFonts w:hint="eastAsia" w:ascii="仿宋" w:hAnsi="仿宋" w:eastAsia="仿宋" w:cs="Times New Roman"/>
          <w:color w:val="000000"/>
          <w:sz w:val="32"/>
          <w:szCs w:val="32"/>
          <w:shd w:val="clear" w:color="auto" w:fill="FFFFFF"/>
        </w:rPr>
      </w:pPr>
      <w:r>
        <w:rPr>
          <w:rFonts w:ascii="仿宋" w:hAnsi="仿宋" w:eastAsia="仿宋" w:cs="Times New Roman"/>
          <w:color w:val="000000"/>
          <w:sz w:val="32"/>
          <w:szCs w:val="32"/>
          <w:shd w:val="clear" w:color="auto" w:fill="FFFFFF"/>
        </w:rPr>
        <w:t>1.融资担保以外的担保、抵押、委托贷款等业务；</w:t>
      </w:r>
    </w:p>
    <w:p w14:paraId="02C0285B">
      <w:pPr>
        <w:spacing w:line="540" w:lineRule="exact"/>
        <w:ind w:firstLine="640" w:firstLineChars="200"/>
        <w:rPr>
          <w:rFonts w:hint="eastAsia" w:ascii="仿宋" w:hAnsi="仿宋" w:eastAsia="仿宋" w:cs="Times New Roman"/>
          <w:color w:val="000000"/>
          <w:sz w:val="32"/>
          <w:szCs w:val="32"/>
          <w:shd w:val="clear" w:color="auto" w:fill="FFFFFF"/>
        </w:rPr>
      </w:pPr>
      <w:r>
        <w:rPr>
          <w:rFonts w:ascii="仿宋" w:hAnsi="仿宋" w:eastAsia="仿宋" w:cs="Times New Roman"/>
          <w:color w:val="000000"/>
          <w:sz w:val="32"/>
          <w:szCs w:val="32"/>
          <w:shd w:val="clear" w:color="auto" w:fill="FFFFFF"/>
        </w:rPr>
        <w:t>2.投资二级市场股票</w:t>
      </w:r>
      <w:r>
        <w:rPr>
          <w:rFonts w:hint="eastAsia" w:ascii="仿宋" w:hAnsi="仿宋" w:eastAsia="仿宋" w:cs="Times New Roman"/>
          <w:color w:val="000000"/>
          <w:sz w:val="32"/>
          <w:szCs w:val="32"/>
          <w:shd w:val="clear" w:color="auto" w:fill="FFFFFF"/>
        </w:rPr>
        <w:t>（参与上市公司定向增发、并购重组和私有化等股权交易形成的股份除外）</w:t>
      </w:r>
      <w:r>
        <w:rPr>
          <w:rFonts w:ascii="仿宋" w:hAnsi="仿宋" w:eastAsia="仿宋" w:cs="Times New Roman"/>
          <w:color w:val="000000"/>
          <w:sz w:val="32"/>
          <w:szCs w:val="32"/>
          <w:shd w:val="clear" w:color="auto" w:fill="FFFFFF"/>
        </w:rPr>
        <w:t>、期货、房地产、证券投资基金、评级AAA以下的企业债、信托产品、非保本型理财产品、保险计划及其他金融衍生品；</w:t>
      </w:r>
    </w:p>
    <w:p w14:paraId="6C74AA03">
      <w:pPr>
        <w:spacing w:line="540" w:lineRule="exact"/>
        <w:ind w:firstLine="640" w:firstLineChars="200"/>
        <w:rPr>
          <w:rFonts w:hint="eastAsia" w:ascii="仿宋" w:hAnsi="仿宋" w:eastAsia="仿宋" w:cs="Times New Roman"/>
          <w:color w:val="000000"/>
          <w:sz w:val="32"/>
          <w:szCs w:val="32"/>
          <w:shd w:val="clear" w:color="auto" w:fill="FFFFFF"/>
        </w:rPr>
      </w:pPr>
      <w:r>
        <w:rPr>
          <w:rFonts w:ascii="仿宋" w:hAnsi="仿宋" w:eastAsia="仿宋" w:cs="Times New Roman"/>
          <w:color w:val="000000"/>
          <w:sz w:val="32"/>
          <w:szCs w:val="32"/>
          <w:shd w:val="clear" w:color="auto" w:fill="FFFFFF"/>
        </w:rPr>
        <w:t>3.向任何第三方提供赞助、捐赠（经批准的公益性捐赠除外）；</w:t>
      </w:r>
    </w:p>
    <w:p w14:paraId="0F3DEF61">
      <w:pPr>
        <w:spacing w:line="540" w:lineRule="exact"/>
        <w:ind w:firstLine="640" w:firstLineChars="200"/>
        <w:rPr>
          <w:rFonts w:hint="eastAsia" w:ascii="仿宋" w:hAnsi="仿宋" w:eastAsia="仿宋" w:cs="Times New Roman"/>
          <w:color w:val="000000"/>
          <w:sz w:val="32"/>
          <w:szCs w:val="32"/>
          <w:shd w:val="clear" w:color="auto" w:fill="FFFFFF"/>
        </w:rPr>
      </w:pPr>
      <w:r>
        <w:rPr>
          <w:rFonts w:ascii="仿宋" w:hAnsi="仿宋" w:eastAsia="仿宋" w:cs="Times New Roman"/>
          <w:color w:val="000000"/>
          <w:sz w:val="32"/>
          <w:szCs w:val="32"/>
          <w:shd w:val="clear" w:color="auto" w:fill="FFFFFF"/>
        </w:rPr>
        <w:t>4.吸收或变相吸收存款，或向第三方提供贷款和资金拆借；</w:t>
      </w:r>
    </w:p>
    <w:p w14:paraId="2D73425C">
      <w:pPr>
        <w:spacing w:line="540" w:lineRule="exact"/>
        <w:ind w:firstLine="640" w:firstLineChars="200"/>
        <w:rPr>
          <w:rFonts w:hint="eastAsia" w:ascii="仿宋" w:hAnsi="仿宋" w:eastAsia="仿宋" w:cs="Times New Roman"/>
          <w:color w:val="000000"/>
          <w:sz w:val="32"/>
          <w:szCs w:val="32"/>
          <w:shd w:val="clear" w:color="auto" w:fill="FFFFFF"/>
        </w:rPr>
      </w:pPr>
      <w:r>
        <w:rPr>
          <w:rFonts w:ascii="仿宋" w:hAnsi="仿宋" w:eastAsia="仿宋" w:cs="Times New Roman"/>
          <w:color w:val="000000"/>
          <w:sz w:val="32"/>
          <w:szCs w:val="32"/>
          <w:shd w:val="clear" w:color="auto" w:fill="FFFFFF"/>
        </w:rPr>
        <w:t>5.进行承担无限连带责任的对外投资；</w:t>
      </w:r>
    </w:p>
    <w:p w14:paraId="6BEC8588">
      <w:pPr>
        <w:spacing w:line="540" w:lineRule="exact"/>
        <w:ind w:firstLine="640" w:firstLineChars="200"/>
        <w:rPr>
          <w:rFonts w:hint="eastAsia" w:ascii="仿宋" w:hAnsi="仿宋" w:eastAsia="仿宋" w:cs="Times New Roman"/>
          <w:color w:val="000000"/>
          <w:sz w:val="32"/>
          <w:szCs w:val="32"/>
          <w:shd w:val="clear" w:color="auto" w:fill="FFFFFF"/>
        </w:rPr>
      </w:pPr>
      <w:r>
        <w:rPr>
          <w:rFonts w:ascii="仿宋" w:hAnsi="仿宋" w:eastAsia="仿宋" w:cs="Times New Roman"/>
          <w:color w:val="000000"/>
          <w:sz w:val="32"/>
          <w:szCs w:val="32"/>
          <w:shd w:val="clear" w:color="auto" w:fill="FFFFFF"/>
        </w:rPr>
        <w:t>6.发行信托或集合理财产品募集资金；</w:t>
      </w:r>
    </w:p>
    <w:p w14:paraId="230EC21A">
      <w:pPr>
        <w:spacing w:line="540" w:lineRule="exact"/>
        <w:ind w:firstLine="640" w:firstLineChars="200"/>
        <w:rPr>
          <w:rFonts w:hint="eastAsia" w:ascii="仿宋" w:hAnsi="仿宋" w:eastAsia="仿宋" w:cs="Times New Roman"/>
          <w:color w:val="000000"/>
          <w:sz w:val="32"/>
          <w:szCs w:val="32"/>
          <w:shd w:val="clear" w:color="auto" w:fill="FFFFFF"/>
        </w:rPr>
      </w:pPr>
      <w:r>
        <w:rPr>
          <w:rFonts w:ascii="仿宋" w:hAnsi="仿宋" w:eastAsia="仿宋" w:cs="Times New Roman"/>
          <w:color w:val="000000"/>
          <w:sz w:val="32"/>
          <w:szCs w:val="32"/>
          <w:shd w:val="clear" w:color="auto" w:fill="FFFFFF"/>
        </w:rPr>
        <w:t>7.其他国家法律法规禁止从事的业务。</w:t>
      </w:r>
    </w:p>
    <w:p w14:paraId="6490E60E">
      <w:pPr>
        <w:spacing w:line="540" w:lineRule="exact"/>
        <w:ind w:firstLine="640" w:firstLineChars="200"/>
        <w:rPr>
          <w:rFonts w:hint="eastAsia" w:ascii="仿宋" w:hAnsi="仿宋" w:eastAsia="仿宋" w:cs="仿宋"/>
          <w:sz w:val="32"/>
          <w:szCs w:val="32"/>
        </w:rPr>
      </w:pPr>
      <w:r>
        <w:rPr>
          <w:rFonts w:ascii="仿宋" w:hAnsi="仿宋" w:eastAsia="仿宋" w:cs="Times New Roman"/>
          <w:color w:val="000000"/>
          <w:sz w:val="32"/>
          <w:szCs w:val="32"/>
          <w:shd w:val="clear" w:color="auto" w:fill="FFFFFF"/>
        </w:rPr>
        <w:t>（十</w:t>
      </w:r>
      <w:r>
        <w:rPr>
          <w:rFonts w:hint="eastAsia" w:ascii="仿宋" w:hAnsi="仿宋" w:eastAsia="仿宋" w:cs="Times New Roman"/>
          <w:color w:val="000000"/>
          <w:sz w:val="32"/>
          <w:szCs w:val="32"/>
          <w:shd w:val="clear" w:color="auto" w:fill="FFFFFF"/>
        </w:rPr>
        <w:t>四</w:t>
      </w:r>
      <w:r>
        <w:rPr>
          <w:rFonts w:ascii="仿宋" w:hAnsi="仿宋" w:eastAsia="仿宋" w:cs="Times New Roman"/>
          <w:color w:val="000000"/>
          <w:sz w:val="32"/>
          <w:szCs w:val="32"/>
          <w:shd w:val="clear" w:color="auto" w:fill="FFFFFF"/>
        </w:rPr>
        <w:t>）强制退出：</w:t>
      </w:r>
      <w:r>
        <w:rPr>
          <w:rFonts w:hint="eastAsia" w:ascii="仿宋" w:hAnsi="仿宋" w:eastAsia="仿宋" w:cs="Times New Roman"/>
          <w:color w:val="000000"/>
          <w:sz w:val="32"/>
          <w:szCs w:val="32"/>
          <w:shd w:val="clear" w:color="auto" w:fill="FFFFFF"/>
        </w:rPr>
        <w:t>母、子基金管理机构未按照</w:t>
      </w:r>
      <w:r>
        <w:rPr>
          <w:rFonts w:hint="eastAsia" w:ascii="仿宋" w:hAnsi="仿宋" w:eastAsia="仿宋" w:cs="仿宋"/>
          <w:sz w:val="32"/>
          <w:szCs w:val="32"/>
        </w:rPr>
        <w:t>《武汉产业基金管理办法》、本申报指南、基金合伙协议以及与武汉基金签署的其他协议约定执行的，武汉基金有权责令其限期整改并暂停对该基金投资。对整改合格的母、子基金管理机构，武汉基金可恢复对其母、子基金的投资；对整改不合格的母、子基金管理机构，武汉基金有权启动强制退出程序。</w:t>
      </w:r>
    </w:p>
    <w:p w14:paraId="4DE60DA0">
      <w:pPr>
        <w:spacing w:line="54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有下列情形之一的，武汉基金有权单方选择退出，母、子基金其他出资人须签署一切必要的文件或履行所有必要的程序以确保武汉基金退出，退出价格按照母、子基金合伙协议约定计算，因武汉基金退出而产生的风险和损失由母、子基金管理机构承担：</w:t>
      </w:r>
    </w:p>
    <w:p w14:paraId="61E85C22">
      <w:pPr>
        <w:spacing w:line="54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1.母、子基金未按有限合伙协议（公司章程）约定投资的；</w:t>
      </w:r>
    </w:p>
    <w:p w14:paraId="248A9030">
      <w:pPr>
        <w:spacing w:line="54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2.基金设立方案决策通过，未在12个月内按照规定程序和时间要求完成设立手续的；</w:t>
      </w:r>
    </w:p>
    <w:p w14:paraId="60F2B3E2">
      <w:pPr>
        <w:spacing w:line="54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3.武汉基金出资拨付至母、子基金账户后，超过12个月未实际投资的；</w:t>
      </w:r>
    </w:p>
    <w:p w14:paraId="1F0CD136">
      <w:pPr>
        <w:spacing w:line="54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4.母、子基金或者管理人发生实质性变化或者有违法违规行为的；</w:t>
      </w:r>
    </w:p>
    <w:p w14:paraId="04581F93">
      <w:pPr>
        <w:spacing w:line="54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5.基金投资领域和方向不符合政策目标的；</w:t>
      </w:r>
    </w:p>
    <w:p w14:paraId="33999965">
      <w:pPr>
        <w:spacing w:line="54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6.其他不符合有限合伙协议（公司章程）约定情形的。</w:t>
      </w:r>
    </w:p>
    <w:p w14:paraId="602AAF2F">
      <w:pPr>
        <w:spacing w:line="540" w:lineRule="exact"/>
        <w:ind w:firstLine="640" w:firstLineChars="200"/>
        <w:rPr>
          <w:rFonts w:hint="eastAsia" w:ascii="仿宋" w:hAnsi="仿宋" w:eastAsia="仿宋" w:cs="Times New Roman"/>
          <w:color w:val="000000"/>
          <w:sz w:val="32"/>
          <w:szCs w:val="32"/>
          <w:shd w:val="clear" w:color="auto" w:fill="FFFFFF"/>
        </w:rPr>
      </w:pPr>
      <w:r>
        <w:rPr>
          <w:rFonts w:hint="eastAsia" w:ascii="仿宋" w:hAnsi="仿宋" w:eastAsia="仿宋" w:cs="Times New Roman"/>
          <w:color w:val="000000"/>
          <w:sz w:val="32"/>
          <w:szCs w:val="32"/>
          <w:shd w:val="clear" w:color="auto" w:fill="FFFFFF"/>
        </w:rPr>
        <w:t>（十五）信息披露</w:t>
      </w:r>
    </w:p>
    <w:p w14:paraId="5785F571">
      <w:pPr>
        <w:spacing w:line="540" w:lineRule="exact"/>
        <w:ind w:firstLine="640" w:firstLineChars="200"/>
        <w:rPr>
          <w:rFonts w:hint="eastAsia" w:ascii="仿宋" w:hAnsi="仿宋" w:eastAsia="仿宋" w:cs="Times New Roman"/>
          <w:color w:val="000000"/>
          <w:sz w:val="32"/>
          <w:szCs w:val="32"/>
          <w:shd w:val="clear" w:color="auto" w:fill="FFFFFF"/>
        </w:rPr>
      </w:pPr>
      <w:r>
        <w:rPr>
          <w:rFonts w:hint="eastAsia" w:ascii="仿宋" w:hAnsi="仿宋" w:eastAsia="仿宋" w:cs="Times New Roman"/>
          <w:color w:val="000000"/>
          <w:sz w:val="32"/>
          <w:szCs w:val="32"/>
          <w:shd w:val="clear" w:color="auto" w:fill="FFFFFF"/>
        </w:rPr>
        <w:t>母、子基金管理机构应当建立母、子基金重大事项披露制度。母、子基金须定期向武汉基金提交母、子基金运营报告、经审计的母、子基金财务报告和银行托管报告等，武汉基金视工作需要有权委托专业机构对母、子基金进行审计。</w:t>
      </w:r>
    </w:p>
    <w:p w14:paraId="0B124284">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EF6AC7"/>
    <w:multiLevelType w:val="multilevel"/>
    <w:tmpl w:val="A9EF6AC7"/>
    <w:lvl w:ilvl="0" w:tentative="0">
      <w:start w:val="1"/>
      <w:numFmt w:val="japaneseCounting"/>
      <w:lvlText w:val="%1、"/>
      <w:lvlJc w:val="left"/>
      <w:pPr>
        <w:ind w:left="1303" w:hanging="660"/>
      </w:pPr>
      <w:rPr>
        <w:rFonts w:hint="default"/>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abstractNum w:abstractNumId="1">
    <w:nsid w:val="F7502E39"/>
    <w:multiLevelType w:val="singleLevel"/>
    <w:tmpl w:val="F7502E39"/>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63284F"/>
    <w:rsid w:val="706328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2025-02-28T02:56:00Z</dcterms:created>
  <dc:creator>张晋彬</dc:creator>
  <cp:lastModifiedBy>张晋彬</cp:lastModifiedBy>
  <dcterms:modified xsi:type="dcterms:W3CDTF">2025-02-28T02:56:52Z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9EDC6BB1B4DD4B919534B57ADBC90332_11</vt:lpwstr>
  </property>
  <property fmtid="{D5CDD505-2E9C-101B-9397-08002B2CF9AE}" pid="4" name="KSOTemplateDocerSaveRecord">
    <vt:lpwstr>eyJoZGlkIjoiNDY5NjVhMjA3NTc5ODM1YzIyYzE3MDEyOTI1NGM3M2IiLCJ1c2VySWQiOiIyNDg2MDM4NTcifQ==</vt:lpwstr>
  </property>
</Properties>
</file>